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05" w:rsidRDefault="002E2484">
      <w:pPr>
        <w:pStyle w:val="Title"/>
        <w:spacing w:line="360" w:lineRule="auto"/>
        <w:rPr>
          <w:color w:val="861714"/>
          <w:sz w:val="36"/>
          <w:szCs w:val="36"/>
        </w:rPr>
      </w:pPr>
      <w:bookmarkStart w:id="0" w:name="_heading=h.30j0zll" w:colFirst="0" w:colLast="0"/>
      <w:bookmarkEnd w:id="0"/>
      <w:r>
        <w:rPr>
          <w:color w:val="861714"/>
          <w:sz w:val="36"/>
          <w:szCs w:val="36"/>
        </w:rPr>
        <w:t>Guide for Administrators Evaluating Teachers Using an Active Learning Approach During Instruction</w:t>
      </w:r>
    </w:p>
    <w:p w:rsidR="000D0605" w:rsidRDefault="000D0605"/>
    <w:p w:rsidR="000D0605" w:rsidRDefault="002E2484" w:rsidP="00654C79">
      <w:pPr>
        <w:jc w:val="center"/>
      </w:pPr>
      <w:r>
        <w:rPr>
          <w:noProof/>
        </w:rPr>
        <w:drawing>
          <wp:inline distT="0" distB="0" distL="0" distR="0">
            <wp:extent cx="5943600" cy="3868420"/>
            <wp:effectExtent l="0" t="0" r="0" b="0"/>
            <wp:docPr id="7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3868420"/>
                    </a:xfrm>
                    <a:prstGeom prst="rect">
                      <a:avLst/>
                    </a:prstGeom>
                    <a:ln/>
                  </pic:spPr>
                </pic:pic>
              </a:graphicData>
            </a:graphic>
          </wp:inline>
        </w:drawing>
      </w:r>
    </w:p>
    <w:p w:rsidR="000D0605" w:rsidRDefault="000D0605"/>
    <w:p w:rsidR="000D0605" w:rsidRDefault="002E2484">
      <w:pPr>
        <w:jc w:val="center"/>
        <w:rPr>
          <w:color w:val="382466"/>
          <w:sz w:val="40"/>
          <w:szCs w:val="40"/>
        </w:rPr>
      </w:pPr>
      <w:r>
        <w:rPr>
          <w:color w:val="382466"/>
          <w:sz w:val="40"/>
          <w:szCs w:val="40"/>
        </w:rPr>
        <w:t>Developed by</w:t>
      </w:r>
    </w:p>
    <w:p w:rsidR="000D0605" w:rsidRDefault="002E2484">
      <w:pPr>
        <w:jc w:val="center"/>
        <w:rPr>
          <w:color w:val="382466"/>
          <w:sz w:val="40"/>
          <w:szCs w:val="40"/>
        </w:rPr>
      </w:pPr>
      <w:r>
        <w:rPr>
          <w:color w:val="382466"/>
          <w:sz w:val="40"/>
          <w:szCs w:val="40"/>
        </w:rPr>
        <w:t>Texas School for the Blind &amp; Visually Impaired</w:t>
      </w:r>
    </w:p>
    <w:p w:rsidR="000D0605" w:rsidRDefault="002E2484">
      <w:pPr>
        <w:jc w:val="center"/>
        <w:rPr>
          <w:color w:val="382466"/>
          <w:sz w:val="40"/>
          <w:szCs w:val="40"/>
        </w:rPr>
      </w:pPr>
      <w:r>
        <w:rPr>
          <w:noProof/>
          <w:color w:val="382466"/>
          <w:sz w:val="40"/>
          <w:szCs w:val="40"/>
        </w:rPr>
        <w:drawing>
          <wp:inline distT="0" distB="0" distL="0" distR="0">
            <wp:extent cx="1018309" cy="901931"/>
            <wp:effectExtent l="0" t="0" r="0" b="0"/>
            <wp:docPr id="7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18309" cy="901931"/>
                    </a:xfrm>
                    <a:prstGeom prst="rect">
                      <a:avLst/>
                    </a:prstGeom>
                    <a:ln/>
                  </pic:spPr>
                </pic:pic>
              </a:graphicData>
            </a:graphic>
          </wp:inline>
        </w:drawing>
      </w:r>
    </w:p>
    <w:p w:rsidR="000D0605" w:rsidRDefault="002E2484">
      <w:pPr>
        <w:jc w:val="center"/>
        <w:rPr>
          <w:color w:val="382466"/>
          <w:sz w:val="40"/>
          <w:szCs w:val="40"/>
        </w:rPr>
      </w:pPr>
      <w:r>
        <w:rPr>
          <w:color w:val="382466"/>
          <w:sz w:val="40"/>
          <w:szCs w:val="40"/>
        </w:rPr>
        <w:t>Outreach Programs</w:t>
      </w:r>
    </w:p>
    <w:p w:rsidR="000D0605" w:rsidRDefault="002E2484">
      <w:pPr>
        <w:jc w:val="center"/>
        <w:rPr>
          <w:color w:val="382466"/>
          <w:sz w:val="40"/>
          <w:szCs w:val="40"/>
        </w:rPr>
      </w:pPr>
      <w:r>
        <w:rPr>
          <w:color w:val="382466"/>
          <w:sz w:val="40"/>
          <w:szCs w:val="40"/>
        </w:rPr>
        <w:t xml:space="preserve">For </w:t>
      </w:r>
      <w:hyperlink r:id="rId10">
        <w:r>
          <w:rPr>
            <w:color w:val="382466"/>
            <w:sz w:val="40"/>
            <w:szCs w:val="40"/>
            <w:u w:val="single"/>
          </w:rPr>
          <w:t xml:space="preserve">Active Learning Space </w:t>
        </w:r>
      </w:hyperlink>
    </w:p>
    <w:p w:rsidR="00654C79" w:rsidRDefault="002E2484">
      <w:pPr>
        <w:sectPr w:rsidR="00654C79" w:rsidSect="005F0739">
          <w:footerReference w:type="default" r:id="rId11"/>
          <w:pgSz w:w="12240" w:h="15840" w:code="1"/>
          <w:pgMar w:top="720" w:right="720" w:bottom="720" w:left="720" w:header="432" w:footer="288" w:gutter="0"/>
          <w:pgNumType w:start="0"/>
          <w:cols w:space="720"/>
          <w:titlePg/>
          <w:docGrid w:linePitch="272"/>
        </w:sectPr>
      </w:pPr>
      <w:r>
        <w:br w:type="page"/>
      </w:r>
    </w:p>
    <w:p w:rsidR="000D0605" w:rsidRDefault="000D0605"/>
    <w:p w:rsidR="00E9384A" w:rsidRDefault="00E9384A" w:rsidP="00ED65CE">
      <w:pPr>
        <w:pStyle w:val="Heading1"/>
      </w:pPr>
      <w:r>
        <w:t>Note from the Authors:</w:t>
      </w:r>
    </w:p>
    <w:p w:rsidR="00E9384A" w:rsidRDefault="00E9384A">
      <w:r>
        <w:t xml:space="preserve">This document is currently being piloted and may be revised periodically. We would appreciate hearing from you if you use this version. Please share what you found useful and what was confusing or not helpful. You may send your comments to Kate Hurst at </w:t>
      </w:r>
      <w:hyperlink r:id="rId12" w:history="1">
        <w:r w:rsidRPr="0002013B">
          <w:rPr>
            <w:rStyle w:val="Hyperlink"/>
          </w:rPr>
          <w:t>hurstk@tsbvi.edu</w:t>
        </w:r>
      </w:hyperlink>
      <w:r>
        <w:t>.</w:t>
      </w:r>
    </w:p>
    <w:p w:rsidR="00ED65CE" w:rsidRDefault="00ED65CE">
      <w:r>
        <w:t xml:space="preserve">We recognize that each district has established policies and procedures for evaluating all staff members. This document is not meant to supplant but rather to support you as you carry out what you are already doing to evaluate educators working with these students who are blind or deafblind with significant additional disabilities. </w:t>
      </w:r>
    </w:p>
    <w:p w:rsidR="00ED65CE" w:rsidRDefault="00ED65CE">
      <w:r>
        <w:t>The resources listed in the charts may help you understand more about what to look for related to Active Learning, and they may also be used to guide staff in developing their understanding of the approach. These resources may also help staff in working with family members to have better collaboration between home and school.</w:t>
      </w:r>
    </w:p>
    <w:p w:rsidR="00E9384A" w:rsidRPr="00E9384A" w:rsidRDefault="00ED65CE">
      <w:r>
        <w:t xml:space="preserve">We hope this helps you and your staff feel more confident in providing an Active Learning approach for your students. Please continue to visit </w:t>
      </w:r>
      <w:hyperlink r:id="rId13" w:history="1">
        <w:r w:rsidRPr="00ED65CE">
          <w:rPr>
            <w:rStyle w:val="Hyperlink"/>
          </w:rPr>
          <w:t>Active Learning Space</w:t>
        </w:r>
      </w:hyperlink>
      <w:r>
        <w:t xml:space="preserve"> often for more information and new ideas!</w:t>
      </w:r>
      <w:r w:rsidR="002E2484">
        <w:br w:type="page"/>
      </w:r>
    </w:p>
    <w:p w:rsidR="000D0605" w:rsidRDefault="002E2484">
      <w:pPr>
        <w:pStyle w:val="Title"/>
        <w:spacing w:after="0" w:line="360" w:lineRule="auto"/>
        <w:rPr>
          <w:color w:val="000000"/>
        </w:rPr>
      </w:pPr>
      <w:r>
        <w:rPr>
          <w:color w:val="000000"/>
        </w:rPr>
        <w:lastRenderedPageBreak/>
        <w:t xml:space="preserve">Guide for Administrators Evaluating Teachers Using </w:t>
      </w:r>
    </w:p>
    <w:p w:rsidR="000D0605" w:rsidRDefault="002E2484">
      <w:pPr>
        <w:pStyle w:val="Title"/>
        <w:spacing w:line="360" w:lineRule="auto"/>
        <w:rPr>
          <w:color w:val="000000"/>
        </w:rPr>
      </w:pPr>
      <w:r>
        <w:rPr>
          <w:color w:val="000000"/>
        </w:rPr>
        <w:t>an Active Learning Approach During Instruction</w:t>
      </w:r>
    </w:p>
    <w:p w:rsidR="000D0605" w:rsidRDefault="000D0605">
      <w:pPr>
        <w:pStyle w:val="Heading1"/>
      </w:pPr>
    </w:p>
    <w:p w:rsidR="000D0605" w:rsidRDefault="002E2484">
      <w:pPr>
        <w:pStyle w:val="Heading1"/>
      </w:pPr>
      <w:r>
        <w:t>What Is Active Learning and Who Needs It?</w:t>
      </w:r>
    </w:p>
    <w:p w:rsidR="000D0605" w:rsidRDefault="002E2484">
      <w:r>
        <w:t xml:space="preserve">Students with multiple and significant challenges who are also dealing with vision and hearing loss face unique challenges when it comes to learning. Active Learning is a best practice instructional approach being utilized worldwide for children who are blind, visually impaired, and deafblind experiencing significant additional disabilities impacting physical, cognitive, sensory, social, and emotional development. </w:t>
      </w:r>
      <w:r w:rsidR="006C52A8">
        <w:t>It especially</w:t>
      </w:r>
      <w:r>
        <w:t xml:space="preserve"> targets children who are developmentally at birth-4 years of age.</w:t>
      </w:r>
    </w:p>
    <w:p w:rsidR="000D0605" w:rsidRDefault="002E2484">
      <w:r>
        <w:t xml:space="preserve">Active Learning is an approach based on the work of Dr. Lilli Nielsen, a developmental psychologist and preschool teacher, who worked for over 43 years with children and adults with multiple disabilities at </w:t>
      </w:r>
      <w:proofErr w:type="spellStart"/>
      <w:r>
        <w:t>Refsnaesskolen</w:t>
      </w:r>
      <w:proofErr w:type="spellEnd"/>
      <w:r>
        <w:t xml:space="preserve">, the National Institute for Blind and Partially Sighted Children and Youth in Denmark. Along with the </w:t>
      </w:r>
      <w:hyperlink r:id="rId14">
        <w:r>
          <w:rPr>
            <w:color w:val="0563C1"/>
            <w:u w:val="single"/>
          </w:rPr>
          <w:t>Active Learning Space</w:t>
        </w:r>
      </w:hyperlink>
      <w:r>
        <w:t xml:space="preserve"> website developed by </w:t>
      </w:r>
      <w:proofErr w:type="spellStart"/>
      <w:r>
        <w:t>Penrickton</w:t>
      </w:r>
      <w:proofErr w:type="spellEnd"/>
      <w:r>
        <w:t xml:space="preserve"> Center for Blind Children, Perkins School for the Blind, and Texas School for the Blind &amp; Visually Impaired, we hope this document will help you feel more confident when evaluating your staff using this approach. </w:t>
      </w:r>
    </w:p>
    <w:p w:rsidR="000D0605" w:rsidRDefault="002E2484">
      <w:r>
        <w:t xml:space="preserve">We encourage you to utilize the website, webinars, and our online self-paced training modules to support your staff’s training needs. These resources are also helpful for the families of these students. </w:t>
      </w:r>
    </w:p>
    <w:p w:rsidR="000D0605" w:rsidRDefault="002E2484">
      <w:pPr>
        <w:pStyle w:val="Heading1"/>
        <w:rPr>
          <w:highlight w:val="white"/>
        </w:rPr>
      </w:pPr>
      <w:r>
        <w:rPr>
          <w:highlight w:val="white"/>
        </w:rPr>
        <w:t>What Should You Be Looking for When Evaluating Staff?</w:t>
      </w:r>
    </w:p>
    <w:p w:rsidR="000D0605" w:rsidRDefault="002E2484">
      <w:bookmarkStart w:id="1" w:name="_heading=h.gjdgxs" w:colFirst="0" w:colLast="0"/>
      <w:bookmarkEnd w:id="1"/>
      <w:r>
        <w:t>A large team of professionals serve these students including teachers of students with visual impairments, teachers of the deaf and hard of hearing, physical and occupational therapists, speech-language therapists, and others. Though the classroom teacher has the primary responsibility for overseeing the program for the child, all team members should be involved in the process of assessing, planning, developing, and delivering instruction. For example, other team members should be responsible for helping to complete assessment and track progress on the IEP. When evaluating classroom teachers and other staff serving these children using Dr. Nielsen’s Active Learning approach in their classroom there are many things you should be able to observe or document. Each team member may be evaluated by a different administrator. This document is meant to serve as a guide for any administrator and should be adapted to meet individual needs.</w:t>
      </w:r>
    </w:p>
    <w:p w:rsidR="000D0605" w:rsidRDefault="002E2484">
      <w:pPr>
        <w:numPr>
          <w:ilvl w:val="0"/>
          <w:numId w:val="13"/>
        </w:numPr>
        <w:pBdr>
          <w:top w:val="nil"/>
          <w:left w:val="nil"/>
          <w:bottom w:val="nil"/>
          <w:right w:val="nil"/>
          <w:between w:val="nil"/>
        </w:pBdr>
        <w:spacing w:after="0"/>
      </w:pPr>
      <w:r>
        <w:rPr>
          <w:color w:val="000000"/>
        </w:rPr>
        <w:t>Evidence of proper and ongoing assessment and documentation of student performance</w:t>
      </w:r>
    </w:p>
    <w:p w:rsidR="000D0605" w:rsidRDefault="002E2484">
      <w:pPr>
        <w:numPr>
          <w:ilvl w:val="1"/>
          <w:numId w:val="13"/>
        </w:numPr>
        <w:pBdr>
          <w:top w:val="nil"/>
          <w:left w:val="nil"/>
          <w:bottom w:val="nil"/>
          <w:right w:val="nil"/>
          <w:between w:val="nil"/>
        </w:pBdr>
        <w:spacing w:after="0"/>
      </w:pPr>
      <w:r>
        <w:rPr>
          <w:color w:val="000000"/>
        </w:rPr>
        <w:t>Completion of the Functional Scheme for the student (including summary page) with at least annual updates</w:t>
      </w:r>
    </w:p>
    <w:p w:rsidR="000D0605" w:rsidRDefault="002E2484">
      <w:pPr>
        <w:numPr>
          <w:ilvl w:val="1"/>
          <w:numId w:val="13"/>
        </w:numPr>
        <w:pBdr>
          <w:top w:val="nil"/>
          <w:left w:val="nil"/>
          <w:bottom w:val="nil"/>
          <w:right w:val="nil"/>
          <w:between w:val="nil"/>
        </w:pBdr>
        <w:spacing w:after="0"/>
      </w:pPr>
      <w:r>
        <w:rPr>
          <w:color w:val="000000"/>
        </w:rPr>
        <w:t>Completion of other assessment reports from related service staff, teacher of students who are visually impaired, teacher of students who are deaf and hard of hearing, and/or teacher of students who are deafblind</w:t>
      </w:r>
    </w:p>
    <w:p w:rsidR="000D0605" w:rsidRDefault="002E2484">
      <w:pPr>
        <w:numPr>
          <w:ilvl w:val="1"/>
          <w:numId w:val="13"/>
        </w:numPr>
        <w:pBdr>
          <w:top w:val="nil"/>
          <w:left w:val="nil"/>
          <w:bottom w:val="nil"/>
          <w:right w:val="nil"/>
          <w:between w:val="nil"/>
        </w:pBdr>
        <w:spacing w:after="0"/>
      </w:pPr>
      <w:r>
        <w:rPr>
          <w:color w:val="000000"/>
        </w:rPr>
        <w:t>Regular weekly documentation on student performance in activities and learning environments</w:t>
      </w:r>
    </w:p>
    <w:p w:rsidR="000D0605" w:rsidRDefault="002E2484">
      <w:pPr>
        <w:numPr>
          <w:ilvl w:val="1"/>
          <w:numId w:val="13"/>
        </w:numPr>
        <w:pBdr>
          <w:top w:val="nil"/>
          <w:left w:val="nil"/>
          <w:bottom w:val="nil"/>
          <w:right w:val="nil"/>
          <w:between w:val="nil"/>
        </w:pBdr>
        <w:spacing w:after="0"/>
      </w:pPr>
      <w:r>
        <w:rPr>
          <w:color w:val="000000"/>
        </w:rPr>
        <w:t>Reports sent to families at designated intervals</w:t>
      </w:r>
    </w:p>
    <w:p w:rsidR="000D0605" w:rsidRDefault="002E2484">
      <w:pPr>
        <w:numPr>
          <w:ilvl w:val="0"/>
          <w:numId w:val="13"/>
        </w:numPr>
        <w:pBdr>
          <w:top w:val="nil"/>
          <w:left w:val="nil"/>
          <w:bottom w:val="nil"/>
          <w:right w:val="nil"/>
          <w:between w:val="nil"/>
        </w:pBdr>
        <w:spacing w:after="0"/>
      </w:pPr>
      <w:r>
        <w:rPr>
          <w:color w:val="000000"/>
        </w:rPr>
        <w:t>Evidence</w:t>
      </w:r>
      <w:r>
        <w:t xml:space="preserve"> of the ability of </w:t>
      </w:r>
      <w:r>
        <w:rPr>
          <w:color w:val="000000"/>
        </w:rPr>
        <w:t>all staff working with the student to use educational techniques that address the student’s social and emotional developmental levels and IEP goals</w:t>
      </w:r>
    </w:p>
    <w:p w:rsidR="000D0605" w:rsidRDefault="002E2484">
      <w:pPr>
        <w:numPr>
          <w:ilvl w:val="1"/>
          <w:numId w:val="13"/>
        </w:numPr>
        <w:pBdr>
          <w:top w:val="nil"/>
          <w:left w:val="nil"/>
          <w:bottom w:val="nil"/>
          <w:right w:val="nil"/>
          <w:between w:val="nil"/>
        </w:pBdr>
        <w:spacing w:after="0"/>
      </w:pPr>
      <w:r>
        <w:t>Shows ability</w:t>
      </w:r>
      <w:r>
        <w:rPr>
          <w:color w:val="000000"/>
        </w:rPr>
        <w:t xml:space="preserve"> to reduce demands during activities based on the child’s responses (e.g., shorten the duration of the activity, accept partial response, allow the child to take a short break and try again, offer an alternative activity, does not overly praise the child)</w:t>
      </w:r>
    </w:p>
    <w:p w:rsidR="000D0605" w:rsidRDefault="002E2484">
      <w:pPr>
        <w:numPr>
          <w:ilvl w:val="1"/>
          <w:numId w:val="13"/>
        </w:numPr>
        <w:pBdr>
          <w:top w:val="nil"/>
          <w:left w:val="nil"/>
          <w:bottom w:val="nil"/>
          <w:right w:val="nil"/>
          <w:between w:val="nil"/>
        </w:pBdr>
        <w:spacing w:after="0"/>
      </w:pPr>
      <w:r>
        <w:rPr>
          <w:color w:val="000000"/>
        </w:rPr>
        <w:t>Shows understanding of the specific IEP goals related to child’s interaction skills and the appropriate student response (e.g., child tolerates the presence of the adult, child shows an interest or interacts with the adult, child is able to attempt a step in a familiar activity, child shows the ability to self-regulate)</w:t>
      </w:r>
    </w:p>
    <w:p w:rsidR="000D0605" w:rsidRDefault="002E2484">
      <w:pPr>
        <w:numPr>
          <w:ilvl w:val="1"/>
          <w:numId w:val="13"/>
        </w:numPr>
        <w:pBdr>
          <w:top w:val="nil"/>
          <w:left w:val="nil"/>
          <w:bottom w:val="nil"/>
          <w:right w:val="nil"/>
          <w:between w:val="nil"/>
        </w:pBdr>
        <w:spacing w:after="0"/>
      </w:pPr>
      <w:r>
        <w:rPr>
          <w:color w:val="000000"/>
        </w:rPr>
        <w:t>Shows</w:t>
      </w:r>
      <w:r>
        <w:t xml:space="preserve"> </w:t>
      </w:r>
      <w:r>
        <w:rPr>
          <w:color w:val="000000"/>
        </w:rPr>
        <w:t>the ability to adapt academic content using an Active Learning approach (using real objects and materials, provides opportunities for hands-on examination of materials prior to group activities, aligns goals to standard curriculum utilizing essences statements, etc.)</w:t>
      </w:r>
    </w:p>
    <w:p w:rsidR="000D0605" w:rsidRDefault="002E2484">
      <w:pPr>
        <w:numPr>
          <w:ilvl w:val="1"/>
          <w:numId w:val="13"/>
        </w:numPr>
        <w:pBdr>
          <w:top w:val="nil"/>
          <w:left w:val="nil"/>
          <w:bottom w:val="nil"/>
          <w:right w:val="nil"/>
          <w:between w:val="nil"/>
        </w:pBdr>
        <w:spacing w:after="0"/>
      </w:pPr>
      <w:r>
        <w:rPr>
          <w:color w:val="000000"/>
        </w:rPr>
        <w:t>Shows the ability to follow the child’s lead (e.g., imitates the child’s actions on objects, makes his/her hands available to the child and models actions using hand-under-hand</w:t>
      </w:r>
      <w:r w:rsidR="006C52A8">
        <w:rPr>
          <w:color w:val="000000"/>
        </w:rPr>
        <w:t xml:space="preserve"> when necessary</w:t>
      </w:r>
      <w:r>
        <w:rPr>
          <w:color w:val="000000"/>
        </w:rPr>
        <w:t>, allows for small breaks to let the child process, does not talk continually interrupting the child’s learning,)</w:t>
      </w:r>
    </w:p>
    <w:p w:rsidR="000D0605" w:rsidRDefault="002E2484">
      <w:pPr>
        <w:numPr>
          <w:ilvl w:val="1"/>
          <w:numId w:val="13"/>
        </w:numPr>
        <w:pBdr>
          <w:top w:val="nil"/>
          <w:left w:val="nil"/>
          <w:bottom w:val="nil"/>
          <w:right w:val="nil"/>
          <w:between w:val="nil"/>
        </w:pBdr>
        <w:spacing w:after="0"/>
      </w:pPr>
      <w:r>
        <w:rPr>
          <w:color w:val="000000"/>
        </w:rPr>
        <w:lastRenderedPageBreak/>
        <w:t>Shows the ability to notice and interpret the child’s communication attempts made through movement, gestures, vocalizations, signals, signs, words, etc.</w:t>
      </w:r>
    </w:p>
    <w:p w:rsidR="000D0605" w:rsidRDefault="002E2484">
      <w:pPr>
        <w:numPr>
          <w:ilvl w:val="1"/>
          <w:numId w:val="13"/>
        </w:numPr>
        <w:pBdr>
          <w:top w:val="nil"/>
          <w:left w:val="nil"/>
          <w:bottom w:val="nil"/>
          <w:right w:val="nil"/>
          <w:between w:val="nil"/>
        </w:pBdr>
        <w:spacing w:after="0"/>
      </w:pPr>
      <w:r>
        <w:rPr>
          <w:color w:val="000000"/>
        </w:rPr>
        <w:t>Uses communication methods that are meaningful to the child and appropriate to his/her sensory abilities (e.g. supports speech with sign/gestures if child is deaf or uses tactile information if child is blind or deafblind)</w:t>
      </w:r>
    </w:p>
    <w:p w:rsidR="000D0605" w:rsidRDefault="002E2484">
      <w:pPr>
        <w:numPr>
          <w:ilvl w:val="1"/>
          <w:numId w:val="13"/>
        </w:numPr>
        <w:pBdr>
          <w:top w:val="nil"/>
          <w:left w:val="nil"/>
          <w:bottom w:val="nil"/>
          <w:right w:val="nil"/>
          <w:between w:val="nil"/>
        </w:pBdr>
        <w:spacing w:after="0"/>
      </w:pPr>
      <w:r>
        <w:rPr>
          <w:color w:val="000000"/>
        </w:rPr>
        <w:t>Uses turn-taking interactions and responds to expressive communication attempts to encourage the development of conversation and communication. Limits directive communications.</w:t>
      </w:r>
    </w:p>
    <w:p w:rsidR="000D0605" w:rsidRDefault="002E2484">
      <w:pPr>
        <w:numPr>
          <w:ilvl w:val="0"/>
          <w:numId w:val="13"/>
        </w:numPr>
        <w:pBdr>
          <w:top w:val="nil"/>
          <w:left w:val="nil"/>
          <w:bottom w:val="nil"/>
          <w:right w:val="nil"/>
          <w:between w:val="nil"/>
        </w:pBdr>
        <w:spacing w:after="0"/>
      </w:pPr>
      <w:r>
        <w:rPr>
          <w:color w:val="000000"/>
        </w:rPr>
        <w:t xml:space="preserve">Selection of specific Active Learning equipment matches IEP goals for physical development </w:t>
      </w:r>
    </w:p>
    <w:p w:rsidR="000D0605" w:rsidRDefault="002E2484">
      <w:pPr>
        <w:numPr>
          <w:ilvl w:val="1"/>
          <w:numId w:val="13"/>
        </w:numPr>
        <w:pBdr>
          <w:top w:val="nil"/>
          <w:left w:val="nil"/>
          <w:bottom w:val="nil"/>
          <w:right w:val="nil"/>
          <w:between w:val="nil"/>
        </w:pBdr>
        <w:spacing w:after="0"/>
      </w:pPr>
      <w:r>
        <w:t>Can</w:t>
      </w:r>
      <w:r>
        <w:rPr>
          <w:color w:val="000000"/>
        </w:rPr>
        <w:t xml:space="preserve"> explain why a specific piece of equipment is used in an activity and how it relates to the student’s IEP goals</w:t>
      </w:r>
    </w:p>
    <w:p w:rsidR="000D0605" w:rsidRDefault="002E2484">
      <w:pPr>
        <w:numPr>
          <w:ilvl w:val="1"/>
          <w:numId w:val="13"/>
        </w:numPr>
        <w:pBdr>
          <w:top w:val="nil"/>
          <w:left w:val="nil"/>
          <w:bottom w:val="nil"/>
          <w:right w:val="nil"/>
          <w:between w:val="nil"/>
        </w:pBdr>
        <w:spacing w:after="0"/>
      </w:pPr>
      <w:r>
        <w:t>Can</w:t>
      </w:r>
      <w:r>
        <w:rPr>
          <w:color w:val="000000"/>
        </w:rPr>
        <w:t xml:space="preserve"> set up and position the child using the equipment appropriately and safely</w:t>
      </w:r>
    </w:p>
    <w:p w:rsidR="000D0605" w:rsidRDefault="002E2484">
      <w:pPr>
        <w:numPr>
          <w:ilvl w:val="0"/>
          <w:numId w:val="13"/>
        </w:numPr>
        <w:pBdr>
          <w:top w:val="nil"/>
          <w:left w:val="nil"/>
          <w:bottom w:val="nil"/>
          <w:right w:val="nil"/>
          <w:between w:val="nil"/>
        </w:pBdr>
        <w:spacing w:after="0"/>
      </w:pPr>
      <w:r>
        <w:rPr>
          <w:color w:val="000000"/>
        </w:rPr>
        <w:t xml:space="preserve">Selection and creation of Active Learning environments address the student IEP goals and supports academic content </w:t>
      </w:r>
      <w:r>
        <w:t>and</w:t>
      </w:r>
      <w:r>
        <w:rPr>
          <w:color w:val="000000"/>
        </w:rPr>
        <w:t xml:space="preserve"> expanded core curriculum for students with visual impairments or deafness</w:t>
      </w:r>
    </w:p>
    <w:p w:rsidR="000D0605" w:rsidRDefault="002E2484">
      <w:pPr>
        <w:numPr>
          <w:ilvl w:val="1"/>
          <w:numId w:val="13"/>
        </w:numPr>
        <w:pBdr>
          <w:top w:val="nil"/>
          <w:left w:val="nil"/>
          <w:bottom w:val="nil"/>
          <w:right w:val="nil"/>
          <w:between w:val="nil"/>
        </w:pBdr>
        <w:spacing w:after="0"/>
      </w:pPr>
      <w:r>
        <w:t>Can</w:t>
      </w:r>
      <w:r>
        <w:rPr>
          <w:color w:val="000000"/>
        </w:rPr>
        <w:t xml:space="preserve"> explain why specific materials are used in an activity and how the activity relates to the student’s IEP goals</w:t>
      </w:r>
    </w:p>
    <w:p w:rsidR="000D0605" w:rsidRDefault="002E2484">
      <w:pPr>
        <w:numPr>
          <w:ilvl w:val="1"/>
          <w:numId w:val="13"/>
        </w:numPr>
        <w:pBdr>
          <w:top w:val="nil"/>
          <w:left w:val="nil"/>
          <w:bottom w:val="nil"/>
          <w:right w:val="nil"/>
          <w:between w:val="nil"/>
        </w:pBdr>
        <w:spacing w:after="0"/>
      </w:pPr>
      <w:r>
        <w:t>Demonstrates</w:t>
      </w:r>
      <w:r>
        <w:rPr>
          <w:color w:val="000000"/>
        </w:rPr>
        <w:t xml:space="preserve"> knowledge of the student’s preferences, motor skills, and sensory abilities for accessing materials in the activity</w:t>
      </w:r>
    </w:p>
    <w:p w:rsidR="000D0605" w:rsidRDefault="002E2484">
      <w:pPr>
        <w:numPr>
          <w:ilvl w:val="1"/>
          <w:numId w:val="13"/>
        </w:numPr>
        <w:pBdr>
          <w:top w:val="nil"/>
          <w:left w:val="nil"/>
          <w:bottom w:val="nil"/>
          <w:right w:val="nil"/>
          <w:between w:val="nil"/>
        </w:pBdr>
        <w:spacing w:after="0"/>
      </w:pPr>
      <w:r>
        <w:rPr>
          <w:color w:val="000000"/>
        </w:rPr>
        <w:t xml:space="preserve">Materials </w:t>
      </w:r>
      <w:r>
        <w:t xml:space="preserve">in </w:t>
      </w:r>
      <w:r>
        <w:rPr>
          <w:color w:val="000000"/>
        </w:rPr>
        <w:t>all activities include many common objects (not miniatures of objects) made of various materials including wood, metal, paper, natural substances (rocks, plants, animals, fabric, etc.)</w:t>
      </w:r>
    </w:p>
    <w:p w:rsidR="000D0605" w:rsidRDefault="002E2484">
      <w:pPr>
        <w:numPr>
          <w:ilvl w:val="0"/>
          <w:numId w:val="13"/>
        </w:numPr>
        <w:pBdr>
          <w:top w:val="nil"/>
          <w:left w:val="nil"/>
          <w:bottom w:val="nil"/>
          <w:right w:val="nil"/>
          <w:between w:val="nil"/>
        </w:pBdr>
        <w:spacing w:after="0"/>
      </w:pPr>
      <w:r>
        <w:rPr>
          <w:color w:val="000000"/>
        </w:rPr>
        <w:t>Ability to explain specific Active Learning strategies to the student’s family members and provide resources to help them understand the approach</w:t>
      </w:r>
    </w:p>
    <w:p w:rsidR="000D0605" w:rsidRDefault="002E2484">
      <w:pPr>
        <w:numPr>
          <w:ilvl w:val="1"/>
          <w:numId w:val="13"/>
        </w:numPr>
        <w:pBdr>
          <w:top w:val="nil"/>
          <w:left w:val="nil"/>
          <w:bottom w:val="nil"/>
          <w:right w:val="nil"/>
          <w:between w:val="nil"/>
        </w:pBdr>
        <w:spacing w:after="0"/>
      </w:pPr>
      <w:r>
        <w:rPr>
          <w:color w:val="000000"/>
        </w:rPr>
        <w:t>Communication and progress notes to the family reflect the child’s activities and how they relate to the IEP goals</w:t>
      </w:r>
    </w:p>
    <w:p w:rsidR="000D0605" w:rsidRDefault="002E2484">
      <w:pPr>
        <w:numPr>
          <w:ilvl w:val="1"/>
          <w:numId w:val="13"/>
        </w:numPr>
        <w:pBdr>
          <w:top w:val="nil"/>
          <w:left w:val="nil"/>
          <w:bottom w:val="nil"/>
          <w:right w:val="nil"/>
          <w:between w:val="nil"/>
        </w:pBdr>
        <w:spacing w:after="0"/>
      </w:pPr>
      <w:r>
        <w:rPr>
          <w:color w:val="000000"/>
        </w:rPr>
        <w:t>Can explain why specific pieces of equipment and materials are used with the child</w:t>
      </w:r>
    </w:p>
    <w:p w:rsidR="000D0605" w:rsidRDefault="002E2484">
      <w:pPr>
        <w:numPr>
          <w:ilvl w:val="1"/>
          <w:numId w:val="13"/>
        </w:numPr>
        <w:pBdr>
          <w:top w:val="nil"/>
          <w:left w:val="nil"/>
          <w:bottom w:val="nil"/>
          <w:right w:val="nil"/>
          <w:between w:val="nil"/>
        </w:pBdr>
        <w:spacing w:after="0"/>
      </w:pPr>
      <w:r>
        <w:rPr>
          <w:color w:val="000000"/>
        </w:rPr>
        <w:t>Can explain why an Active Learning approach differs from typical learning approaches due to the child’s early developmental levels</w:t>
      </w:r>
    </w:p>
    <w:p w:rsidR="000D0605" w:rsidRDefault="002E2484">
      <w:pPr>
        <w:numPr>
          <w:ilvl w:val="1"/>
          <w:numId w:val="13"/>
        </w:numPr>
        <w:pBdr>
          <w:top w:val="nil"/>
          <w:left w:val="nil"/>
          <w:bottom w:val="nil"/>
          <w:right w:val="nil"/>
          <w:between w:val="nil"/>
        </w:pBdr>
      </w:pPr>
      <w:r>
        <w:rPr>
          <w:color w:val="000000"/>
        </w:rPr>
        <w:t>Can direct the family to resources and training related to Active Learning</w:t>
      </w:r>
    </w:p>
    <w:p w:rsidR="000D0605" w:rsidRDefault="002E2484">
      <w:r>
        <w:t xml:space="preserve">To aid in the evaluation process, we have developed this form for administrators and supervisors to use. It indicates things to look for in the instructor’s practice, and in some cases, what to look for in terms of the student’s responses or behaviors. We have also included resources for training purposes that may also guide you, as the administrator, in better understanding the Active Learning approach. </w:t>
      </w:r>
    </w:p>
    <w:p w:rsidR="000D0605" w:rsidRPr="00654C79" w:rsidRDefault="002E2484">
      <w:pPr>
        <w:sectPr w:rsidR="000D0605" w:rsidRPr="00654C79" w:rsidSect="005F0739">
          <w:pgSz w:w="12240" w:h="15840" w:code="1"/>
          <w:pgMar w:top="720" w:right="720" w:bottom="720" w:left="720" w:header="432" w:footer="288" w:gutter="0"/>
          <w:pgNumType w:start="0"/>
          <w:cols w:space="720"/>
          <w:titlePg/>
          <w:docGrid w:linePitch="272"/>
        </w:sectPr>
      </w:pPr>
      <w:r w:rsidRPr="00654C79">
        <w:t>Each section is assigned a maximum number of points that when totaled equals 100 points. Bonus points are assigned to indicate excellence in the utilization of this approach.</w:t>
      </w:r>
      <w:r w:rsidR="00654C79">
        <w:t xml:space="preserve"> You might award these points for inclusion of all items or a single item that has been done in great depth. For example, if the teacher works with the family to get them to training or meets with them regularly to discuss strategies for implementing Active Learning in the home, this might merit bonus points being awarded. </w:t>
      </w:r>
      <w:r w:rsidRPr="00654C79">
        <w:t xml:space="preserve"> Of course, there is always more to learn and expertise is developed over time and in collaboration with other professionals. This scoring system only addresses the specifics of implementing Active Learning and does not supplant any required state teacher evaluation documentation. </w:t>
      </w:r>
    </w:p>
    <w:p w:rsidR="000D0605" w:rsidRDefault="002E2484">
      <w:pPr>
        <w:rPr>
          <w:b/>
        </w:rPr>
      </w:pPr>
      <w:r>
        <w:rPr>
          <w:b/>
        </w:rPr>
        <w:lastRenderedPageBreak/>
        <w:t>Instructor’s Name:</w:t>
      </w:r>
      <w:r>
        <w:rPr>
          <w:b/>
        </w:rPr>
        <w:tab/>
      </w:r>
      <w:r>
        <w:rPr>
          <w:b/>
        </w:rPr>
        <w:tab/>
      </w:r>
      <w:r>
        <w:rPr>
          <w:b/>
        </w:rPr>
        <w:tab/>
      </w:r>
      <w:r>
        <w:rPr>
          <w:b/>
        </w:rPr>
        <w:tab/>
      </w:r>
      <w:r>
        <w:rPr>
          <w:b/>
        </w:rPr>
        <w:tab/>
      </w:r>
      <w:r>
        <w:rPr>
          <w:b/>
        </w:rPr>
        <w:tab/>
      </w:r>
      <w:r>
        <w:rPr>
          <w:b/>
        </w:rPr>
        <w:tab/>
      </w:r>
      <w:r>
        <w:rPr>
          <w:b/>
        </w:rPr>
        <w:tab/>
        <w:t>Total Points Awarded:</w:t>
      </w:r>
      <w:r>
        <w:rPr>
          <w:b/>
        </w:rPr>
        <w:tab/>
      </w:r>
      <w:r>
        <w:rPr>
          <w:b/>
        </w:rPr>
        <w:tab/>
      </w:r>
      <w:r>
        <w:rPr>
          <w:b/>
        </w:rPr>
        <w:tab/>
        <w:t>Date:</w:t>
      </w:r>
      <w:r>
        <w:rPr>
          <w:b/>
        </w:rPr>
        <w:tab/>
      </w:r>
      <w:r>
        <w:rPr>
          <w:b/>
        </w:rPr>
        <w:tab/>
      </w:r>
      <w:r>
        <w:rPr>
          <w:b/>
        </w:rPr>
        <w:tab/>
        <w:t>Administrator’s Name:</w:t>
      </w:r>
    </w:p>
    <w:p w:rsidR="000D0605" w:rsidRDefault="002E2484">
      <w:pPr>
        <w:rPr>
          <w:b/>
        </w:rPr>
      </w:pPr>
      <w:r>
        <w:rPr>
          <w:b/>
        </w:rPr>
        <w:t>Comments:</w:t>
      </w:r>
    </w:p>
    <w:p w:rsidR="000D0605" w:rsidRDefault="000D0605">
      <w:pPr>
        <w:rPr>
          <w:b/>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2"/>
        <w:gridCol w:w="5633"/>
        <w:gridCol w:w="4684"/>
        <w:gridCol w:w="1655"/>
        <w:gridCol w:w="1162"/>
      </w:tblGrid>
      <w:tr w:rsidR="000D0605" w:rsidTr="00E9384A">
        <w:trPr>
          <w:tblHeader/>
        </w:trPr>
        <w:tc>
          <w:tcPr>
            <w:tcW w:w="612" w:type="pct"/>
          </w:tcPr>
          <w:p w:rsidR="000D0605" w:rsidRDefault="002E2484">
            <w:pPr>
              <w:rPr>
                <w:b/>
                <w:color w:val="1A1A1A"/>
                <w:highlight w:val="white"/>
              </w:rPr>
            </w:pPr>
            <w:r>
              <w:rPr>
                <w:b/>
                <w:color w:val="1A1A1A"/>
                <w:highlight w:val="white"/>
              </w:rPr>
              <w:t>Area</w:t>
            </w:r>
          </w:p>
        </w:tc>
        <w:tc>
          <w:tcPr>
            <w:tcW w:w="1882" w:type="pct"/>
          </w:tcPr>
          <w:p w:rsidR="000D0605" w:rsidRDefault="002E2484">
            <w:pPr>
              <w:jc w:val="center"/>
              <w:rPr>
                <w:b/>
                <w:color w:val="1A1A1A"/>
                <w:highlight w:val="white"/>
              </w:rPr>
            </w:pPr>
            <w:r>
              <w:rPr>
                <w:b/>
                <w:color w:val="1A1A1A"/>
                <w:highlight w:val="white"/>
              </w:rPr>
              <w:t>Evidence of Teacher Knowledge and Skills</w:t>
            </w:r>
          </w:p>
        </w:tc>
        <w:tc>
          <w:tcPr>
            <w:tcW w:w="1565" w:type="pct"/>
          </w:tcPr>
          <w:p w:rsidR="000D0605" w:rsidRDefault="002E2484">
            <w:pPr>
              <w:jc w:val="center"/>
              <w:rPr>
                <w:b/>
                <w:color w:val="1A1A1A"/>
                <w:highlight w:val="white"/>
              </w:rPr>
            </w:pPr>
            <w:r>
              <w:rPr>
                <w:b/>
                <w:color w:val="1A1A1A"/>
                <w:highlight w:val="white"/>
              </w:rPr>
              <w:t>What the Student Does</w:t>
            </w:r>
          </w:p>
        </w:tc>
        <w:tc>
          <w:tcPr>
            <w:tcW w:w="553" w:type="pct"/>
          </w:tcPr>
          <w:p w:rsidR="000D0605" w:rsidRDefault="002E2484">
            <w:pPr>
              <w:jc w:val="center"/>
              <w:rPr>
                <w:b/>
                <w:color w:val="1A1A1A"/>
                <w:highlight w:val="white"/>
              </w:rPr>
            </w:pPr>
            <w:r>
              <w:rPr>
                <w:b/>
                <w:color w:val="1A1A1A"/>
                <w:highlight w:val="white"/>
              </w:rPr>
              <w:t>Resources</w:t>
            </w:r>
          </w:p>
        </w:tc>
        <w:tc>
          <w:tcPr>
            <w:tcW w:w="388" w:type="pct"/>
          </w:tcPr>
          <w:p w:rsidR="000D0605" w:rsidRDefault="002E2484">
            <w:pPr>
              <w:jc w:val="center"/>
              <w:rPr>
                <w:b/>
                <w:color w:val="1A1A1A"/>
                <w:highlight w:val="white"/>
              </w:rPr>
            </w:pPr>
            <w:r>
              <w:rPr>
                <w:b/>
                <w:color w:val="1A1A1A"/>
                <w:highlight w:val="white"/>
              </w:rPr>
              <w:t xml:space="preserve">Rating </w:t>
            </w:r>
          </w:p>
          <w:p w:rsidR="000D0605" w:rsidRDefault="000D0605">
            <w:pPr>
              <w:jc w:val="center"/>
              <w:rPr>
                <w:b/>
                <w:color w:val="1A1A1A"/>
                <w:highlight w:val="white"/>
              </w:rPr>
            </w:pPr>
          </w:p>
        </w:tc>
      </w:tr>
      <w:tr w:rsidR="000D0605" w:rsidTr="00E9384A">
        <w:trPr>
          <w:cantSplit/>
          <w:trHeight w:val="1367"/>
        </w:trPr>
        <w:tc>
          <w:tcPr>
            <w:tcW w:w="612" w:type="pct"/>
          </w:tcPr>
          <w:p w:rsidR="000D0605" w:rsidRDefault="002E2484">
            <w:pPr>
              <w:ind w:left="113" w:right="113"/>
              <w:rPr>
                <w:color w:val="1A1A1A"/>
                <w:highlight w:val="white"/>
              </w:rPr>
            </w:pPr>
            <w:r>
              <w:rPr>
                <w:color w:val="1A1A1A"/>
                <w:highlight w:val="white"/>
              </w:rPr>
              <w:t>Standards &amp; Alignment</w:t>
            </w:r>
          </w:p>
        </w:tc>
        <w:tc>
          <w:tcPr>
            <w:tcW w:w="1882" w:type="pct"/>
          </w:tcPr>
          <w:p w:rsidR="000D0605" w:rsidRDefault="002E2484">
            <w:pPr>
              <w:numPr>
                <w:ilvl w:val="0"/>
                <w:numId w:val="6"/>
              </w:numPr>
              <w:pBdr>
                <w:top w:val="nil"/>
                <w:left w:val="nil"/>
                <w:bottom w:val="nil"/>
                <w:right w:val="nil"/>
                <w:between w:val="nil"/>
              </w:pBdr>
              <w:spacing w:line="259" w:lineRule="auto"/>
              <w:ind w:left="389"/>
              <w:rPr>
                <w:color w:val="1A1A1A"/>
                <w:highlight w:val="white"/>
              </w:rPr>
            </w:pPr>
            <w:r>
              <w:rPr>
                <w:color w:val="1A1A1A"/>
                <w:highlight w:val="white"/>
              </w:rPr>
              <w:t xml:space="preserve">Goals are aligned to state content standards and are developmentally appropriate based on assessed developmental age of the student </w:t>
            </w:r>
          </w:p>
          <w:p w:rsidR="000D0605" w:rsidRDefault="002E2484">
            <w:pPr>
              <w:numPr>
                <w:ilvl w:val="0"/>
                <w:numId w:val="6"/>
              </w:numPr>
              <w:pBdr>
                <w:top w:val="nil"/>
                <w:left w:val="nil"/>
                <w:bottom w:val="nil"/>
                <w:right w:val="nil"/>
                <w:between w:val="nil"/>
              </w:pBdr>
              <w:spacing w:line="259" w:lineRule="auto"/>
              <w:ind w:left="389"/>
              <w:rPr>
                <w:color w:val="1A1A1A"/>
                <w:highlight w:val="white"/>
              </w:rPr>
            </w:pPr>
            <w:r>
              <w:rPr>
                <w:color w:val="1A1A1A"/>
                <w:highlight w:val="white"/>
              </w:rPr>
              <w:t>Technology (Active Learning equipment/materials) is being used to support mastery of lesson’s goals in academic areas and are adapted to student’s sensory and motor abilities</w:t>
            </w:r>
          </w:p>
          <w:p w:rsidR="000D0605" w:rsidRDefault="002E2484">
            <w:pPr>
              <w:numPr>
                <w:ilvl w:val="0"/>
                <w:numId w:val="6"/>
              </w:numPr>
              <w:pBdr>
                <w:top w:val="nil"/>
                <w:left w:val="nil"/>
                <w:bottom w:val="nil"/>
                <w:right w:val="nil"/>
                <w:between w:val="nil"/>
              </w:pBdr>
              <w:spacing w:line="259" w:lineRule="auto"/>
              <w:ind w:left="389"/>
              <w:rPr>
                <w:color w:val="1A1A1A"/>
                <w:highlight w:val="white"/>
              </w:rPr>
            </w:pPr>
            <w:r>
              <w:rPr>
                <w:color w:val="1A1A1A"/>
                <w:highlight w:val="white"/>
              </w:rPr>
              <w:t>Segment of the academic lesson provides for sufficient time for student work and the adult-child interaction</w:t>
            </w:r>
          </w:p>
          <w:p w:rsidR="000D0605" w:rsidRDefault="002E2484">
            <w:pPr>
              <w:numPr>
                <w:ilvl w:val="0"/>
                <w:numId w:val="6"/>
              </w:numPr>
              <w:pBdr>
                <w:top w:val="nil"/>
                <w:left w:val="nil"/>
                <w:bottom w:val="nil"/>
                <w:right w:val="nil"/>
                <w:between w:val="nil"/>
              </w:pBdr>
              <w:spacing w:line="259" w:lineRule="auto"/>
              <w:ind w:left="389"/>
              <w:rPr>
                <w:color w:val="1A1A1A"/>
                <w:highlight w:val="white"/>
              </w:rPr>
            </w:pPr>
            <w:r>
              <w:rPr>
                <w:color w:val="1A1A1A"/>
                <w:highlight w:val="white"/>
              </w:rPr>
              <w:t>Lesson structure and pacing match the learner’s needs</w:t>
            </w:r>
          </w:p>
          <w:p w:rsidR="000D0605" w:rsidRDefault="002E2484">
            <w:pPr>
              <w:numPr>
                <w:ilvl w:val="0"/>
                <w:numId w:val="6"/>
              </w:numPr>
              <w:pBdr>
                <w:top w:val="nil"/>
                <w:left w:val="nil"/>
                <w:bottom w:val="nil"/>
                <w:right w:val="nil"/>
                <w:between w:val="nil"/>
              </w:pBdr>
              <w:spacing w:line="259" w:lineRule="auto"/>
              <w:ind w:left="389"/>
              <w:rPr>
                <w:color w:val="1A1A1A"/>
                <w:highlight w:val="white"/>
              </w:rPr>
            </w:pPr>
            <w:r>
              <w:rPr>
                <w:color w:val="1A1A1A"/>
                <w:highlight w:val="white"/>
              </w:rPr>
              <w:t xml:space="preserve">Lesson addresses </w:t>
            </w:r>
            <w:proofErr w:type="spellStart"/>
            <w:r>
              <w:rPr>
                <w:color w:val="1A1A1A"/>
                <w:highlight w:val="white"/>
              </w:rPr>
              <w:t>scaffolded</w:t>
            </w:r>
            <w:proofErr w:type="spellEnd"/>
            <w:r>
              <w:rPr>
                <w:color w:val="1A1A1A"/>
                <w:highlight w:val="white"/>
              </w:rPr>
              <w:t xml:space="preserve"> learning and complex concepts as it progresses</w:t>
            </w:r>
          </w:p>
          <w:p w:rsidR="000D0605" w:rsidRDefault="002E2484">
            <w:pPr>
              <w:numPr>
                <w:ilvl w:val="0"/>
                <w:numId w:val="6"/>
              </w:numPr>
              <w:pBdr>
                <w:top w:val="nil"/>
                <w:left w:val="nil"/>
                <w:bottom w:val="nil"/>
                <w:right w:val="nil"/>
                <w:between w:val="nil"/>
              </w:pBdr>
              <w:spacing w:after="160" w:line="259" w:lineRule="auto"/>
              <w:ind w:left="389"/>
              <w:rPr>
                <w:color w:val="1A1A1A"/>
                <w:highlight w:val="white"/>
              </w:rPr>
            </w:pPr>
            <w:r>
              <w:rPr>
                <w:color w:val="1A1A1A"/>
                <w:highlight w:val="white"/>
              </w:rPr>
              <w:t>Functional skills are integrated and supported in the lesson</w:t>
            </w:r>
          </w:p>
          <w:p w:rsidR="000D0605" w:rsidRDefault="000D0605">
            <w:pPr>
              <w:rPr>
                <w:color w:val="1A1A1A"/>
                <w:highlight w:val="white"/>
              </w:rPr>
            </w:pPr>
          </w:p>
        </w:tc>
        <w:tc>
          <w:tcPr>
            <w:tcW w:w="1565" w:type="pct"/>
          </w:tcPr>
          <w:p w:rsidR="000D0605" w:rsidRDefault="002E2484">
            <w:pPr>
              <w:numPr>
                <w:ilvl w:val="0"/>
                <w:numId w:val="11"/>
              </w:numPr>
              <w:pBdr>
                <w:top w:val="nil"/>
                <w:left w:val="nil"/>
                <w:bottom w:val="nil"/>
                <w:right w:val="nil"/>
                <w:between w:val="nil"/>
              </w:pBdr>
              <w:spacing w:line="259" w:lineRule="auto"/>
              <w:ind w:left="163" w:hanging="180"/>
              <w:rPr>
                <w:color w:val="1A1A1A"/>
                <w:highlight w:val="white"/>
              </w:rPr>
            </w:pPr>
            <w:r>
              <w:rPr>
                <w:color w:val="1A1A1A"/>
                <w:highlight w:val="white"/>
              </w:rPr>
              <w:t>Interacts with materials and environments that are the focus of the academic lesson</w:t>
            </w:r>
          </w:p>
          <w:p w:rsidR="000D0605" w:rsidRDefault="002E2484">
            <w:pPr>
              <w:numPr>
                <w:ilvl w:val="0"/>
                <w:numId w:val="11"/>
              </w:numPr>
              <w:pBdr>
                <w:top w:val="nil"/>
                <w:left w:val="nil"/>
                <w:bottom w:val="nil"/>
                <w:right w:val="nil"/>
                <w:between w:val="nil"/>
              </w:pBdr>
              <w:spacing w:line="259" w:lineRule="auto"/>
              <w:ind w:left="163" w:hanging="180"/>
              <w:rPr>
                <w:color w:val="1A1A1A"/>
                <w:highlight w:val="white"/>
              </w:rPr>
            </w:pPr>
            <w:r>
              <w:rPr>
                <w:color w:val="1A1A1A"/>
                <w:highlight w:val="white"/>
              </w:rPr>
              <w:t>Uses Active Learning equipment and materials in a way that reflects familiarity with the activity</w:t>
            </w:r>
          </w:p>
          <w:p w:rsidR="000D0605" w:rsidRDefault="002E2484">
            <w:pPr>
              <w:numPr>
                <w:ilvl w:val="0"/>
                <w:numId w:val="11"/>
              </w:numPr>
              <w:pBdr>
                <w:top w:val="nil"/>
                <w:left w:val="nil"/>
                <w:bottom w:val="nil"/>
                <w:right w:val="nil"/>
                <w:between w:val="nil"/>
              </w:pBdr>
              <w:spacing w:line="259" w:lineRule="auto"/>
              <w:ind w:left="163" w:hanging="180"/>
              <w:rPr>
                <w:color w:val="1A1A1A"/>
                <w:highlight w:val="white"/>
              </w:rPr>
            </w:pPr>
            <w:r>
              <w:rPr>
                <w:color w:val="1A1A1A"/>
                <w:highlight w:val="white"/>
              </w:rPr>
              <w:t>Explores at his/her own pace and own way and is not interrupted by the teacher or teacher’s directions</w:t>
            </w:r>
          </w:p>
          <w:p w:rsidR="000D0605" w:rsidRDefault="002E2484">
            <w:pPr>
              <w:numPr>
                <w:ilvl w:val="0"/>
                <w:numId w:val="11"/>
              </w:numPr>
              <w:pBdr>
                <w:top w:val="nil"/>
                <w:left w:val="nil"/>
                <w:bottom w:val="nil"/>
                <w:right w:val="nil"/>
                <w:between w:val="nil"/>
              </w:pBdr>
              <w:spacing w:line="259" w:lineRule="auto"/>
              <w:ind w:left="163" w:hanging="180"/>
              <w:rPr>
                <w:color w:val="1A1A1A"/>
                <w:highlight w:val="white"/>
              </w:rPr>
            </w:pPr>
            <w:r>
              <w:rPr>
                <w:color w:val="1A1A1A"/>
                <w:highlight w:val="white"/>
              </w:rPr>
              <w:t xml:space="preserve">Indicates through behavior or communication when lesson should be shortened or lengthened </w:t>
            </w:r>
          </w:p>
          <w:p w:rsidR="000D0605" w:rsidRDefault="002E2484">
            <w:pPr>
              <w:numPr>
                <w:ilvl w:val="0"/>
                <w:numId w:val="11"/>
              </w:numPr>
              <w:pBdr>
                <w:top w:val="nil"/>
                <w:left w:val="nil"/>
                <w:bottom w:val="nil"/>
                <w:right w:val="nil"/>
                <w:between w:val="nil"/>
              </w:pBdr>
              <w:spacing w:line="259" w:lineRule="auto"/>
              <w:ind w:left="163" w:hanging="180"/>
              <w:rPr>
                <w:color w:val="1A1A1A"/>
                <w:highlight w:val="white"/>
              </w:rPr>
            </w:pPr>
            <w:r>
              <w:rPr>
                <w:color w:val="1A1A1A"/>
                <w:highlight w:val="white"/>
              </w:rPr>
              <w:t>Does not engage or rejects activity when novelty should be introduced or activity changed</w:t>
            </w:r>
          </w:p>
          <w:p w:rsidR="000D0605" w:rsidRDefault="002E2484">
            <w:pPr>
              <w:numPr>
                <w:ilvl w:val="0"/>
                <w:numId w:val="11"/>
              </w:numPr>
              <w:pBdr>
                <w:top w:val="nil"/>
                <w:left w:val="nil"/>
                <w:bottom w:val="nil"/>
                <w:right w:val="nil"/>
                <w:between w:val="nil"/>
              </w:pBdr>
              <w:spacing w:after="160" w:line="259" w:lineRule="auto"/>
              <w:ind w:left="163" w:hanging="180"/>
              <w:rPr>
                <w:color w:val="1A1A1A"/>
                <w:highlight w:val="white"/>
              </w:rPr>
            </w:pPr>
            <w:r>
              <w:rPr>
                <w:color w:val="1A1A1A"/>
                <w:highlight w:val="white"/>
              </w:rPr>
              <w:t>Practices gross/fine motor skills, sensory skills, communication, and/or social/emotional skills during lesson</w:t>
            </w:r>
          </w:p>
          <w:p w:rsidR="000D0605" w:rsidRDefault="000D0605">
            <w:pPr>
              <w:rPr>
                <w:color w:val="1A1A1A"/>
                <w:highlight w:val="white"/>
              </w:rPr>
            </w:pPr>
          </w:p>
        </w:tc>
        <w:tc>
          <w:tcPr>
            <w:tcW w:w="553" w:type="pct"/>
          </w:tcPr>
          <w:p w:rsidR="000D0605" w:rsidRDefault="004838F5">
            <w:pPr>
              <w:pBdr>
                <w:top w:val="nil"/>
                <w:left w:val="nil"/>
                <w:bottom w:val="nil"/>
                <w:right w:val="nil"/>
                <w:between w:val="nil"/>
              </w:pBdr>
              <w:spacing w:line="259" w:lineRule="auto"/>
              <w:rPr>
                <w:color w:val="1A1A1A"/>
                <w:highlight w:val="white"/>
              </w:rPr>
            </w:pPr>
            <w:hyperlink r:id="rId15">
              <w:r w:rsidR="002E2484">
                <w:rPr>
                  <w:color w:val="0563C1"/>
                  <w:highlight w:val="white"/>
                  <w:u w:val="single"/>
                </w:rPr>
                <w:t>Texas Pre-Kindergarten Guideline</w:t>
              </w:r>
            </w:hyperlink>
            <w:r w:rsidR="002E2484">
              <w:rPr>
                <w:color w:val="1A1A1A"/>
                <w:highlight w:val="white"/>
              </w:rPr>
              <w:t xml:space="preserve"> </w:t>
            </w:r>
          </w:p>
          <w:p w:rsidR="000D0605" w:rsidRDefault="000D0605">
            <w:pPr>
              <w:pBdr>
                <w:top w:val="nil"/>
                <w:left w:val="nil"/>
                <w:bottom w:val="nil"/>
                <w:right w:val="nil"/>
                <w:between w:val="nil"/>
              </w:pBdr>
              <w:spacing w:line="259" w:lineRule="auto"/>
              <w:rPr>
                <w:color w:val="1A1A1A"/>
                <w:highlight w:val="white"/>
              </w:rPr>
            </w:pPr>
          </w:p>
          <w:p w:rsidR="000D0605" w:rsidRDefault="004838F5">
            <w:pPr>
              <w:pBdr>
                <w:top w:val="nil"/>
                <w:left w:val="nil"/>
                <w:bottom w:val="nil"/>
                <w:right w:val="nil"/>
                <w:between w:val="nil"/>
              </w:pBdr>
              <w:spacing w:after="160" w:line="259" w:lineRule="auto"/>
            </w:pPr>
            <w:hyperlink r:id="rId16">
              <w:r w:rsidR="002E2484">
                <w:rPr>
                  <w:color w:val="0563C1"/>
                  <w:highlight w:val="white"/>
                  <w:u w:val="single"/>
                </w:rPr>
                <w:t xml:space="preserve">Early Learning Pathways: </w:t>
              </w:r>
            </w:hyperlink>
            <w:hyperlink r:id="rId17">
              <w:r w:rsidR="002E2484">
                <w:rPr>
                  <w:color w:val="0563C1"/>
                  <w:u w:val="single"/>
                </w:rPr>
                <w:t xml:space="preserve">An alignment of the Texas Infant, Toddler, and Three-Year-Old Early Learning Guidelines </w:t>
              </w:r>
            </w:hyperlink>
          </w:p>
          <w:p w:rsidR="000D0605" w:rsidRDefault="000D0605">
            <w:pPr>
              <w:pBdr>
                <w:top w:val="nil"/>
                <w:left w:val="nil"/>
                <w:bottom w:val="nil"/>
                <w:right w:val="nil"/>
                <w:between w:val="nil"/>
              </w:pBdr>
              <w:spacing w:after="160" w:line="259" w:lineRule="auto"/>
              <w:rPr>
                <w:color w:val="1A1A1A"/>
                <w:highlight w:val="white"/>
              </w:rPr>
            </w:pPr>
          </w:p>
          <w:p w:rsidR="000D0605" w:rsidRDefault="000D0605"/>
        </w:tc>
        <w:tc>
          <w:tcPr>
            <w:tcW w:w="388" w:type="pct"/>
          </w:tcPr>
          <w:p w:rsidR="000D0605" w:rsidRDefault="002E2484">
            <w:pPr>
              <w:rPr>
                <w:color w:val="1A1A1A"/>
                <w:highlight w:val="white"/>
              </w:rPr>
            </w:pPr>
            <w:r>
              <w:rPr>
                <w:color w:val="1A1A1A"/>
                <w:highlight w:val="white"/>
              </w:rPr>
              <w:t>___/15 points</w:t>
            </w:r>
          </w:p>
          <w:p w:rsidR="000D0605" w:rsidRDefault="000D0605">
            <w:pPr>
              <w:rPr>
                <w:color w:val="1A1A1A"/>
                <w:highlight w:val="white"/>
              </w:rPr>
            </w:pPr>
          </w:p>
          <w:p w:rsidR="000D0605" w:rsidRDefault="002E2484">
            <w:pPr>
              <w:rPr>
                <w:color w:val="1A1A1A"/>
                <w:highlight w:val="white"/>
              </w:rPr>
            </w:pPr>
            <w:r>
              <w:rPr>
                <w:color w:val="1A1A1A"/>
                <w:highlight w:val="white"/>
              </w:rPr>
              <w:t>2 points for each item with up to 3 points for excellence</w:t>
            </w:r>
          </w:p>
        </w:tc>
      </w:tr>
      <w:tr w:rsidR="000D0605" w:rsidTr="00E9384A">
        <w:trPr>
          <w:cantSplit/>
          <w:trHeight w:val="1367"/>
        </w:trPr>
        <w:tc>
          <w:tcPr>
            <w:tcW w:w="612" w:type="pct"/>
          </w:tcPr>
          <w:p w:rsidR="000D0605" w:rsidRDefault="002E2484">
            <w:pPr>
              <w:ind w:left="113" w:right="113"/>
              <w:rPr>
                <w:color w:val="1A1A1A"/>
                <w:highlight w:val="white"/>
              </w:rPr>
            </w:pPr>
            <w:r>
              <w:rPr>
                <w:color w:val="1A1A1A"/>
                <w:highlight w:val="white"/>
              </w:rPr>
              <w:lastRenderedPageBreak/>
              <w:t>Data &amp; Assessment</w:t>
            </w:r>
          </w:p>
        </w:tc>
        <w:tc>
          <w:tcPr>
            <w:tcW w:w="1882" w:type="pct"/>
          </w:tcPr>
          <w:p w:rsidR="000D0605" w:rsidRDefault="002E2484">
            <w:pPr>
              <w:numPr>
                <w:ilvl w:val="0"/>
                <w:numId w:val="4"/>
              </w:numPr>
              <w:pBdr>
                <w:top w:val="nil"/>
                <w:left w:val="nil"/>
                <w:bottom w:val="nil"/>
                <w:right w:val="nil"/>
                <w:between w:val="nil"/>
              </w:pBdr>
              <w:spacing w:line="259" w:lineRule="auto"/>
              <w:ind w:left="389"/>
              <w:rPr>
                <w:color w:val="1A1A1A"/>
                <w:highlight w:val="white"/>
              </w:rPr>
            </w:pPr>
            <w:r>
              <w:rPr>
                <w:color w:val="1A1A1A"/>
                <w:highlight w:val="white"/>
              </w:rPr>
              <w:t>Within 6 weeks of receiving student has completed or updated at least gross / fine movement, visual, auditory, spatial and object perception, and language sections of Functional Scheme</w:t>
            </w:r>
          </w:p>
          <w:p w:rsidR="000D0605" w:rsidRDefault="002E2484">
            <w:pPr>
              <w:numPr>
                <w:ilvl w:val="0"/>
                <w:numId w:val="4"/>
              </w:numPr>
              <w:pBdr>
                <w:top w:val="nil"/>
                <w:left w:val="nil"/>
                <w:bottom w:val="nil"/>
                <w:right w:val="nil"/>
                <w:between w:val="nil"/>
              </w:pBdr>
              <w:spacing w:line="259" w:lineRule="auto"/>
              <w:ind w:left="389"/>
              <w:rPr>
                <w:color w:val="1A1A1A"/>
                <w:highlight w:val="white"/>
              </w:rPr>
            </w:pPr>
            <w:r>
              <w:rPr>
                <w:color w:val="1A1A1A"/>
                <w:highlight w:val="white"/>
              </w:rPr>
              <w:t>All sections of the Functional Scheme are completed and/or updated by year’s end and Functional Scheme Assessment summary page updated at least 2 times per year</w:t>
            </w:r>
          </w:p>
          <w:p w:rsidR="000D0605" w:rsidRDefault="002E2484">
            <w:pPr>
              <w:numPr>
                <w:ilvl w:val="0"/>
                <w:numId w:val="4"/>
              </w:numPr>
              <w:pBdr>
                <w:top w:val="nil"/>
                <w:left w:val="nil"/>
                <w:bottom w:val="nil"/>
                <w:right w:val="nil"/>
                <w:between w:val="nil"/>
              </w:pBdr>
              <w:spacing w:line="259" w:lineRule="auto"/>
              <w:ind w:left="389"/>
              <w:rPr>
                <w:color w:val="1A1A1A"/>
                <w:highlight w:val="white"/>
              </w:rPr>
            </w:pPr>
            <w:r>
              <w:rPr>
                <w:color w:val="1A1A1A"/>
                <w:highlight w:val="white"/>
              </w:rPr>
              <w:t>Other required assessment has been done by related service staff, TVI, TDHH and/or TDB</w:t>
            </w:r>
          </w:p>
          <w:p w:rsidR="000D0605" w:rsidRDefault="002E2484">
            <w:pPr>
              <w:numPr>
                <w:ilvl w:val="0"/>
                <w:numId w:val="4"/>
              </w:numPr>
              <w:pBdr>
                <w:top w:val="nil"/>
                <w:left w:val="nil"/>
                <w:bottom w:val="nil"/>
                <w:right w:val="nil"/>
                <w:between w:val="nil"/>
              </w:pBdr>
              <w:spacing w:line="259" w:lineRule="auto"/>
              <w:ind w:left="389"/>
              <w:rPr>
                <w:color w:val="1A1A1A"/>
                <w:highlight w:val="white"/>
              </w:rPr>
            </w:pPr>
            <w:r>
              <w:rPr>
                <w:color w:val="1A1A1A"/>
                <w:highlight w:val="white"/>
              </w:rPr>
              <w:t>Regular observation and documentation of progress on each activity/learning environment student uses related to specific IEP goals</w:t>
            </w:r>
          </w:p>
          <w:p w:rsidR="000D0605" w:rsidRDefault="002E2484">
            <w:pPr>
              <w:numPr>
                <w:ilvl w:val="0"/>
                <w:numId w:val="4"/>
              </w:numPr>
              <w:pBdr>
                <w:top w:val="nil"/>
                <w:left w:val="nil"/>
                <w:bottom w:val="nil"/>
                <w:right w:val="nil"/>
                <w:between w:val="nil"/>
              </w:pBdr>
              <w:spacing w:line="259" w:lineRule="auto"/>
              <w:ind w:left="389"/>
              <w:rPr>
                <w:color w:val="1A1A1A"/>
                <w:highlight w:val="white"/>
              </w:rPr>
            </w:pPr>
            <w:r>
              <w:rPr>
                <w:color w:val="1A1A1A"/>
                <w:highlight w:val="white"/>
              </w:rPr>
              <w:t>Learning activities are adjusted based on progress/lack of progress on IEP goals</w:t>
            </w:r>
          </w:p>
          <w:p w:rsidR="000D0605" w:rsidRDefault="002E2484">
            <w:pPr>
              <w:numPr>
                <w:ilvl w:val="0"/>
                <w:numId w:val="4"/>
              </w:numPr>
              <w:pBdr>
                <w:top w:val="nil"/>
                <w:left w:val="nil"/>
                <w:bottom w:val="nil"/>
                <w:right w:val="nil"/>
                <w:between w:val="nil"/>
              </w:pBdr>
              <w:spacing w:line="259" w:lineRule="auto"/>
              <w:ind w:left="389"/>
              <w:rPr>
                <w:color w:val="1A1A1A"/>
                <w:highlight w:val="white"/>
              </w:rPr>
            </w:pPr>
            <w:r>
              <w:rPr>
                <w:color w:val="1A1A1A"/>
                <w:highlight w:val="white"/>
              </w:rPr>
              <w:t>Progress on IEP goals is regularly reviewed with team and family through meetings and/or reports</w:t>
            </w:r>
          </w:p>
          <w:p w:rsidR="00E9384A" w:rsidRDefault="00E9384A">
            <w:pPr>
              <w:pBdr>
                <w:top w:val="nil"/>
                <w:left w:val="nil"/>
                <w:bottom w:val="nil"/>
                <w:right w:val="nil"/>
                <w:between w:val="nil"/>
              </w:pBdr>
              <w:spacing w:after="160" w:line="259" w:lineRule="auto"/>
              <w:ind w:left="720"/>
              <w:rPr>
                <w:color w:val="1A1A1A"/>
                <w:highlight w:val="white"/>
              </w:rPr>
            </w:pPr>
          </w:p>
          <w:p w:rsidR="00E9384A" w:rsidRPr="00E9384A" w:rsidRDefault="00E9384A" w:rsidP="00E9384A">
            <w:pPr>
              <w:rPr>
                <w:highlight w:val="white"/>
              </w:rPr>
            </w:pPr>
          </w:p>
          <w:p w:rsidR="00E9384A" w:rsidRDefault="00E9384A" w:rsidP="00E9384A">
            <w:pPr>
              <w:rPr>
                <w:highlight w:val="white"/>
              </w:rPr>
            </w:pPr>
          </w:p>
          <w:p w:rsidR="000D0605" w:rsidRPr="00E9384A" w:rsidRDefault="000D0605" w:rsidP="00E9384A">
            <w:pPr>
              <w:jc w:val="right"/>
              <w:rPr>
                <w:highlight w:val="white"/>
              </w:rPr>
            </w:pPr>
          </w:p>
        </w:tc>
        <w:tc>
          <w:tcPr>
            <w:tcW w:w="1565" w:type="pct"/>
          </w:tcPr>
          <w:p w:rsidR="000D0605" w:rsidRDefault="002E2484">
            <w:pPr>
              <w:numPr>
                <w:ilvl w:val="0"/>
                <w:numId w:val="8"/>
              </w:numPr>
              <w:pBdr>
                <w:top w:val="nil"/>
                <w:left w:val="nil"/>
                <w:bottom w:val="nil"/>
                <w:right w:val="nil"/>
                <w:between w:val="nil"/>
              </w:pBdr>
              <w:spacing w:after="160" w:line="259" w:lineRule="auto"/>
              <w:ind w:left="163" w:hanging="163"/>
              <w:rPr>
                <w:color w:val="1A1A1A"/>
                <w:highlight w:val="white"/>
              </w:rPr>
            </w:pPr>
            <w:r>
              <w:rPr>
                <w:color w:val="1A1A1A"/>
                <w:highlight w:val="white"/>
              </w:rPr>
              <w:t>Show progress in goals / benchmarks for at least 2 items each regular reporting period (6 weeks) based on collected data</w:t>
            </w:r>
          </w:p>
        </w:tc>
        <w:tc>
          <w:tcPr>
            <w:tcW w:w="553" w:type="pct"/>
          </w:tcPr>
          <w:p w:rsidR="009F3926" w:rsidRPr="009F3926" w:rsidRDefault="004838F5" w:rsidP="009F3926">
            <w:pPr>
              <w:pStyle w:val="NormalWeb"/>
              <w:shd w:val="clear" w:color="auto" w:fill="FFFFFF"/>
              <w:spacing w:before="0" w:beforeAutospacing="0" w:after="420" w:afterAutospacing="0"/>
              <w:rPr>
                <w:rFonts w:ascii="Arial" w:hAnsi="Arial" w:cs="Arial"/>
                <w:color w:val="0070C0"/>
                <w:sz w:val="20"/>
                <w:szCs w:val="20"/>
                <w:u w:val="single"/>
              </w:rPr>
            </w:pPr>
            <w:hyperlink r:id="rId18" w:history="1">
              <w:r w:rsidR="009F3926" w:rsidRPr="009F3926">
                <w:rPr>
                  <w:rStyle w:val="Strong"/>
                  <w:rFonts w:ascii="Arial" w:eastAsiaTheme="majorEastAsia" w:hAnsi="Arial" w:cs="Arial"/>
                  <w:b w:val="0"/>
                  <w:color w:val="0070C0"/>
                  <w:sz w:val="20"/>
                  <w:szCs w:val="20"/>
                  <w:u w:val="single"/>
                </w:rPr>
                <w:t>Functional Scheme Summary Page</w:t>
              </w:r>
            </w:hyperlink>
          </w:p>
          <w:p w:rsidR="009F3926" w:rsidRPr="009F3926" w:rsidRDefault="004838F5" w:rsidP="009F3926">
            <w:pPr>
              <w:pStyle w:val="NormalWeb"/>
              <w:shd w:val="clear" w:color="auto" w:fill="FFFFFF"/>
              <w:spacing w:before="0" w:beforeAutospacing="0" w:after="420" w:afterAutospacing="0"/>
              <w:rPr>
                <w:rFonts w:ascii="Arial" w:hAnsi="Arial" w:cs="Arial"/>
                <w:color w:val="0070C0"/>
                <w:sz w:val="20"/>
                <w:szCs w:val="20"/>
                <w:u w:val="single"/>
              </w:rPr>
            </w:pPr>
            <w:hyperlink r:id="rId19" w:history="1">
              <w:r w:rsidR="009F3926" w:rsidRPr="009F3926">
                <w:rPr>
                  <w:rStyle w:val="Strong"/>
                  <w:rFonts w:ascii="Arial" w:eastAsiaTheme="majorEastAsia" w:hAnsi="Arial" w:cs="Arial"/>
                  <w:b w:val="0"/>
                  <w:color w:val="0070C0"/>
                  <w:sz w:val="20"/>
                  <w:szCs w:val="20"/>
                  <w:u w:val="single"/>
                </w:rPr>
                <w:t xml:space="preserve">Documenting Progress Using the </w:t>
              </w:r>
              <w:r w:rsidR="009F3926" w:rsidRPr="009F3926">
                <w:rPr>
                  <w:rStyle w:val="Strong"/>
                  <w:rFonts w:ascii="Arial" w:eastAsiaTheme="majorEastAsia" w:hAnsi="Arial" w:cs="Arial"/>
                  <w:b w:val="0"/>
                  <w:color w:val="0070C0"/>
                  <w:sz w:val="20"/>
                  <w:szCs w:val="20"/>
                  <w:u w:val="single"/>
                </w:rPr>
                <w:t>F</w:t>
              </w:r>
              <w:r w:rsidR="009F3926" w:rsidRPr="009F3926">
                <w:rPr>
                  <w:rStyle w:val="Strong"/>
                  <w:rFonts w:ascii="Arial" w:eastAsiaTheme="majorEastAsia" w:hAnsi="Arial" w:cs="Arial"/>
                  <w:b w:val="0"/>
                  <w:color w:val="0070C0"/>
                  <w:sz w:val="20"/>
                  <w:szCs w:val="20"/>
                  <w:u w:val="single"/>
                </w:rPr>
                <w:t>unctional Scheme</w:t>
              </w:r>
            </w:hyperlink>
          </w:p>
          <w:p w:rsidR="009F3926" w:rsidRPr="009F3926" w:rsidRDefault="004838F5" w:rsidP="009F3926">
            <w:pPr>
              <w:pStyle w:val="NormalWeb"/>
              <w:shd w:val="clear" w:color="auto" w:fill="FFFFFF"/>
              <w:spacing w:before="0" w:beforeAutospacing="0" w:after="420" w:afterAutospacing="0"/>
              <w:rPr>
                <w:rFonts w:ascii="Arial" w:hAnsi="Arial" w:cs="Arial"/>
                <w:color w:val="0070C0"/>
                <w:sz w:val="20"/>
                <w:szCs w:val="20"/>
                <w:u w:val="single"/>
              </w:rPr>
            </w:pPr>
            <w:hyperlink r:id="rId20" w:history="1">
              <w:r w:rsidR="009F3926" w:rsidRPr="009F3926">
                <w:rPr>
                  <w:rStyle w:val="Hyperlink"/>
                  <w:rFonts w:ascii="Arial" w:hAnsi="Arial" w:cs="Arial"/>
                  <w:bCs/>
                  <w:color w:val="0070C0"/>
                  <w:sz w:val="20"/>
                  <w:szCs w:val="20"/>
                </w:rPr>
                <w:t>Forms for Documenting Progress</w:t>
              </w:r>
            </w:hyperlink>
          </w:p>
          <w:p w:rsidR="000D0605" w:rsidRDefault="000D0605">
            <w:pPr>
              <w:rPr>
                <w:color w:val="1A1A1A"/>
                <w:highlight w:val="white"/>
              </w:rPr>
            </w:pPr>
          </w:p>
        </w:tc>
        <w:tc>
          <w:tcPr>
            <w:tcW w:w="388" w:type="pct"/>
          </w:tcPr>
          <w:p w:rsidR="000D0605" w:rsidRDefault="002E2484">
            <w:pPr>
              <w:rPr>
                <w:color w:val="1A1A1A"/>
                <w:highlight w:val="white"/>
              </w:rPr>
            </w:pPr>
            <w:r>
              <w:rPr>
                <w:color w:val="1A1A1A"/>
                <w:highlight w:val="white"/>
              </w:rPr>
              <w:t>___/20 points</w:t>
            </w:r>
          </w:p>
          <w:p w:rsidR="000D0605" w:rsidRDefault="000D0605">
            <w:pPr>
              <w:rPr>
                <w:color w:val="1A1A1A"/>
                <w:highlight w:val="white"/>
              </w:rPr>
            </w:pPr>
          </w:p>
          <w:p w:rsidR="000D0605" w:rsidRDefault="002E2484">
            <w:pPr>
              <w:rPr>
                <w:color w:val="1A1A1A"/>
                <w:highlight w:val="white"/>
              </w:rPr>
            </w:pPr>
            <w:r>
              <w:rPr>
                <w:color w:val="1A1A1A"/>
                <w:highlight w:val="white"/>
              </w:rPr>
              <w:t>3 points for each item with up to 2 points for excellence</w:t>
            </w:r>
          </w:p>
        </w:tc>
      </w:tr>
      <w:tr w:rsidR="000D0605" w:rsidTr="00E9384A">
        <w:trPr>
          <w:cantSplit/>
          <w:trHeight w:val="1134"/>
        </w:trPr>
        <w:tc>
          <w:tcPr>
            <w:tcW w:w="612" w:type="pct"/>
          </w:tcPr>
          <w:p w:rsidR="000D0605" w:rsidRDefault="002E2484">
            <w:pPr>
              <w:ind w:left="113" w:right="113"/>
              <w:rPr>
                <w:color w:val="1A1A1A"/>
                <w:highlight w:val="white"/>
              </w:rPr>
            </w:pPr>
            <w:r>
              <w:rPr>
                <w:color w:val="1A1A1A"/>
                <w:highlight w:val="white"/>
              </w:rPr>
              <w:t>Knowledge of the Student</w:t>
            </w:r>
          </w:p>
        </w:tc>
        <w:tc>
          <w:tcPr>
            <w:tcW w:w="1882" w:type="pct"/>
          </w:tcPr>
          <w:p w:rsidR="000D0605" w:rsidRDefault="002E2484">
            <w:pPr>
              <w:numPr>
                <w:ilvl w:val="0"/>
                <w:numId w:val="9"/>
              </w:numPr>
              <w:pBdr>
                <w:top w:val="nil"/>
                <w:left w:val="nil"/>
                <w:bottom w:val="nil"/>
                <w:right w:val="nil"/>
                <w:between w:val="nil"/>
              </w:pBdr>
              <w:spacing w:line="259" w:lineRule="auto"/>
              <w:ind w:left="389"/>
              <w:rPr>
                <w:color w:val="1A1A1A"/>
                <w:highlight w:val="white"/>
              </w:rPr>
            </w:pPr>
            <w:r>
              <w:rPr>
                <w:color w:val="1A1A1A"/>
                <w:highlight w:val="white"/>
              </w:rPr>
              <w:t>Knows the child’s approximate social and emotional developmental levels</w:t>
            </w:r>
          </w:p>
          <w:p w:rsidR="000D0605" w:rsidRDefault="002E2484">
            <w:pPr>
              <w:numPr>
                <w:ilvl w:val="0"/>
                <w:numId w:val="9"/>
              </w:numPr>
              <w:pBdr>
                <w:top w:val="nil"/>
                <w:left w:val="nil"/>
                <w:bottom w:val="nil"/>
                <w:right w:val="nil"/>
                <w:between w:val="nil"/>
              </w:pBdr>
              <w:spacing w:line="259" w:lineRule="auto"/>
              <w:ind w:left="389"/>
              <w:rPr>
                <w:color w:val="1A1A1A"/>
                <w:highlight w:val="white"/>
              </w:rPr>
            </w:pPr>
            <w:r>
              <w:rPr>
                <w:color w:val="1A1A1A"/>
                <w:highlight w:val="white"/>
              </w:rPr>
              <w:t>Reduces or increases demands made on the student in response to the child’s behavior</w:t>
            </w:r>
          </w:p>
          <w:p w:rsidR="000D0605" w:rsidRDefault="002E2484">
            <w:pPr>
              <w:numPr>
                <w:ilvl w:val="0"/>
                <w:numId w:val="9"/>
              </w:numPr>
              <w:pBdr>
                <w:top w:val="nil"/>
                <w:left w:val="nil"/>
                <w:bottom w:val="nil"/>
                <w:right w:val="nil"/>
                <w:between w:val="nil"/>
              </w:pBdr>
              <w:spacing w:line="259" w:lineRule="auto"/>
              <w:ind w:left="389"/>
              <w:rPr>
                <w:color w:val="1A1A1A"/>
                <w:highlight w:val="white"/>
              </w:rPr>
            </w:pPr>
            <w:r>
              <w:rPr>
                <w:color w:val="1A1A1A"/>
                <w:highlight w:val="white"/>
              </w:rPr>
              <w:t>Utilizes strategies to elicit a positive response and continued engagement with the child</w:t>
            </w:r>
          </w:p>
          <w:p w:rsidR="000D0605" w:rsidRDefault="002E2484">
            <w:pPr>
              <w:numPr>
                <w:ilvl w:val="0"/>
                <w:numId w:val="9"/>
              </w:numPr>
              <w:pBdr>
                <w:top w:val="nil"/>
                <w:left w:val="nil"/>
                <w:bottom w:val="nil"/>
                <w:right w:val="nil"/>
                <w:between w:val="nil"/>
              </w:pBdr>
              <w:spacing w:line="259" w:lineRule="auto"/>
              <w:ind w:left="389"/>
              <w:rPr>
                <w:color w:val="1A1A1A"/>
                <w:highlight w:val="white"/>
              </w:rPr>
            </w:pPr>
            <w:r>
              <w:rPr>
                <w:color w:val="1A1A1A"/>
                <w:highlight w:val="white"/>
              </w:rPr>
              <w:t>Knows the specific IEP goals related to child’s interaction skills (communication, social/emotional domains) and appropriate student response</w:t>
            </w:r>
          </w:p>
          <w:p w:rsidR="000D0605" w:rsidRDefault="002E2484">
            <w:pPr>
              <w:numPr>
                <w:ilvl w:val="0"/>
                <w:numId w:val="9"/>
              </w:numPr>
              <w:pBdr>
                <w:top w:val="nil"/>
                <w:left w:val="nil"/>
                <w:bottom w:val="nil"/>
                <w:right w:val="nil"/>
                <w:between w:val="nil"/>
              </w:pBdr>
              <w:spacing w:line="259" w:lineRule="auto"/>
              <w:ind w:left="389"/>
              <w:rPr>
                <w:color w:val="1A1A1A"/>
                <w:highlight w:val="white"/>
              </w:rPr>
            </w:pPr>
            <w:r>
              <w:rPr>
                <w:color w:val="1A1A1A"/>
                <w:highlight w:val="white"/>
              </w:rPr>
              <w:t>Can explain the adult’s role in utilizing any of the five phases of educational treatments</w:t>
            </w:r>
          </w:p>
          <w:p w:rsidR="000D0605" w:rsidRDefault="002E2484">
            <w:pPr>
              <w:numPr>
                <w:ilvl w:val="0"/>
                <w:numId w:val="9"/>
              </w:numPr>
              <w:pBdr>
                <w:top w:val="nil"/>
                <w:left w:val="nil"/>
                <w:bottom w:val="nil"/>
                <w:right w:val="nil"/>
                <w:between w:val="nil"/>
              </w:pBdr>
              <w:spacing w:after="160" w:line="259" w:lineRule="auto"/>
              <w:ind w:left="389"/>
              <w:rPr>
                <w:color w:val="1A1A1A"/>
                <w:highlight w:val="white"/>
              </w:rPr>
            </w:pPr>
            <w:r>
              <w:rPr>
                <w:color w:val="1A1A1A"/>
                <w:highlight w:val="white"/>
              </w:rPr>
              <w:t>Shows the ability to respond to the student’s behavior, follow his lead and use appropriate interaction techniques (reduce demands, slow pacing, extend wait time, use hand-under-hand guidance/modeling, allows short breaks for child to process during activity, does not talk excessively during activity or interrupt the child’s exploration of learning environments, uses turn-taking and serve-and-return interactions)</w:t>
            </w:r>
          </w:p>
          <w:p w:rsidR="000D0605" w:rsidRDefault="000D0605">
            <w:pPr>
              <w:rPr>
                <w:color w:val="1A1A1A"/>
                <w:highlight w:val="white"/>
              </w:rPr>
            </w:pPr>
          </w:p>
        </w:tc>
        <w:tc>
          <w:tcPr>
            <w:tcW w:w="1565" w:type="pct"/>
          </w:tcPr>
          <w:p w:rsidR="000D0605" w:rsidRDefault="002E2484">
            <w:pPr>
              <w:numPr>
                <w:ilvl w:val="0"/>
                <w:numId w:val="12"/>
              </w:numPr>
              <w:pBdr>
                <w:top w:val="nil"/>
                <w:left w:val="nil"/>
                <w:bottom w:val="nil"/>
                <w:right w:val="nil"/>
                <w:between w:val="nil"/>
              </w:pBdr>
              <w:spacing w:line="259" w:lineRule="auto"/>
              <w:ind w:left="213" w:hanging="213"/>
              <w:rPr>
                <w:color w:val="1A1A1A"/>
                <w:highlight w:val="white"/>
              </w:rPr>
            </w:pPr>
            <w:r>
              <w:rPr>
                <w:color w:val="1A1A1A"/>
                <w:highlight w:val="white"/>
              </w:rPr>
              <w:t>Tolerates the adult working with him/her</w:t>
            </w:r>
          </w:p>
          <w:p w:rsidR="000D0605" w:rsidRDefault="002E2484">
            <w:pPr>
              <w:numPr>
                <w:ilvl w:val="0"/>
                <w:numId w:val="12"/>
              </w:numPr>
              <w:pBdr>
                <w:top w:val="nil"/>
                <w:left w:val="nil"/>
                <w:bottom w:val="nil"/>
                <w:right w:val="nil"/>
                <w:between w:val="nil"/>
              </w:pBdr>
              <w:spacing w:line="259" w:lineRule="auto"/>
              <w:ind w:left="213" w:hanging="213"/>
              <w:rPr>
                <w:color w:val="1A1A1A"/>
                <w:highlight w:val="white"/>
              </w:rPr>
            </w:pPr>
            <w:r>
              <w:rPr>
                <w:color w:val="1A1A1A"/>
                <w:highlight w:val="white"/>
              </w:rPr>
              <w:t>Seeks to make contact with or interact with the adult by imitating, offering objects, playing turn-taking games, participating in familiar routines, returning to the adult after taking a short break</w:t>
            </w:r>
          </w:p>
          <w:p w:rsidR="000D0605" w:rsidRDefault="002E2484">
            <w:pPr>
              <w:numPr>
                <w:ilvl w:val="0"/>
                <w:numId w:val="12"/>
              </w:numPr>
              <w:pBdr>
                <w:top w:val="nil"/>
                <w:left w:val="nil"/>
                <w:bottom w:val="nil"/>
                <w:right w:val="nil"/>
                <w:between w:val="nil"/>
              </w:pBdr>
              <w:spacing w:line="259" w:lineRule="auto"/>
              <w:ind w:left="213" w:hanging="213"/>
              <w:rPr>
                <w:color w:val="1A1A1A"/>
                <w:highlight w:val="white"/>
              </w:rPr>
            </w:pPr>
            <w:r>
              <w:rPr>
                <w:color w:val="1A1A1A"/>
                <w:highlight w:val="white"/>
              </w:rPr>
              <w:t>Attempt a step in a familiar activity or game</w:t>
            </w:r>
          </w:p>
          <w:p w:rsidR="000D0605" w:rsidRDefault="002E2484">
            <w:pPr>
              <w:numPr>
                <w:ilvl w:val="0"/>
                <w:numId w:val="12"/>
              </w:numPr>
              <w:pBdr>
                <w:top w:val="nil"/>
                <w:left w:val="nil"/>
                <w:bottom w:val="nil"/>
                <w:right w:val="nil"/>
                <w:between w:val="nil"/>
              </w:pBdr>
              <w:spacing w:line="259" w:lineRule="auto"/>
              <w:ind w:left="213" w:hanging="213"/>
              <w:rPr>
                <w:color w:val="1A1A1A"/>
                <w:highlight w:val="white"/>
              </w:rPr>
            </w:pPr>
            <w:r>
              <w:rPr>
                <w:color w:val="1A1A1A"/>
                <w:highlight w:val="white"/>
              </w:rPr>
              <w:t>Communicates acceptance or rejection of activity</w:t>
            </w:r>
          </w:p>
          <w:p w:rsidR="000D0605" w:rsidRDefault="002E2484">
            <w:pPr>
              <w:numPr>
                <w:ilvl w:val="0"/>
                <w:numId w:val="12"/>
              </w:numPr>
              <w:pBdr>
                <w:top w:val="nil"/>
                <w:left w:val="nil"/>
                <w:bottom w:val="nil"/>
                <w:right w:val="nil"/>
                <w:between w:val="nil"/>
              </w:pBdr>
              <w:spacing w:after="160" w:line="259" w:lineRule="auto"/>
              <w:ind w:left="213" w:hanging="213"/>
              <w:rPr>
                <w:color w:val="1A1A1A"/>
                <w:highlight w:val="white"/>
              </w:rPr>
            </w:pPr>
            <w:r>
              <w:rPr>
                <w:color w:val="1A1A1A"/>
                <w:highlight w:val="white"/>
              </w:rPr>
              <w:t>Shows increased ability to self-regulate when experiencing stress or novelty</w:t>
            </w:r>
          </w:p>
        </w:tc>
        <w:tc>
          <w:tcPr>
            <w:tcW w:w="553" w:type="pct"/>
          </w:tcPr>
          <w:p w:rsidR="009F3926" w:rsidRPr="009F3926" w:rsidRDefault="004838F5" w:rsidP="009F3926">
            <w:pPr>
              <w:pStyle w:val="NormalWeb"/>
              <w:shd w:val="clear" w:color="auto" w:fill="FFFFFF"/>
              <w:spacing w:before="0" w:beforeAutospacing="0" w:after="420" w:afterAutospacing="0"/>
              <w:rPr>
                <w:rFonts w:ascii="Arial" w:hAnsi="Arial" w:cs="Arial"/>
                <w:color w:val="0070C0"/>
                <w:u w:val="single"/>
              </w:rPr>
            </w:pPr>
            <w:hyperlink r:id="rId21" w:history="1">
              <w:r w:rsidR="009F3926" w:rsidRPr="009F3926">
                <w:rPr>
                  <w:rStyle w:val="Strong"/>
                  <w:rFonts w:ascii="Arial" w:eastAsiaTheme="majorEastAsia" w:hAnsi="Arial" w:cs="Arial"/>
                  <w:b w:val="0"/>
                  <w:color w:val="0070C0"/>
                  <w:u w:val="single"/>
                </w:rPr>
                <w:t>Dynamic Learning Circle</w:t>
              </w:r>
            </w:hyperlink>
          </w:p>
          <w:p w:rsidR="009F3926" w:rsidRPr="009F3926" w:rsidRDefault="004838F5" w:rsidP="009F3926">
            <w:pPr>
              <w:pStyle w:val="NormalWeb"/>
              <w:shd w:val="clear" w:color="auto" w:fill="FFFFFF"/>
              <w:spacing w:before="0" w:beforeAutospacing="0" w:after="420" w:afterAutospacing="0"/>
              <w:rPr>
                <w:rFonts w:ascii="Arial" w:hAnsi="Arial" w:cs="Arial"/>
                <w:color w:val="0070C0"/>
                <w:u w:val="single"/>
              </w:rPr>
            </w:pPr>
            <w:hyperlink r:id="rId22" w:history="1">
              <w:r w:rsidR="009F3926" w:rsidRPr="009F3926">
                <w:rPr>
                  <w:rStyle w:val="Strong"/>
                  <w:rFonts w:ascii="Arial" w:eastAsiaTheme="majorEastAsia" w:hAnsi="Arial" w:cs="Arial"/>
                  <w:b w:val="0"/>
                  <w:color w:val="0070C0"/>
                  <w:u w:val="single"/>
                </w:rPr>
                <w:t>Five Phases of Educational Treatment Used in Active Learning</w:t>
              </w:r>
            </w:hyperlink>
          </w:p>
          <w:p w:rsidR="009F3926" w:rsidRPr="009F3926" w:rsidRDefault="004838F5" w:rsidP="009F3926">
            <w:pPr>
              <w:pStyle w:val="NormalWeb"/>
              <w:shd w:val="clear" w:color="auto" w:fill="FFFFFF"/>
              <w:spacing w:before="0" w:beforeAutospacing="0" w:after="420" w:afterAutospacing="0"/>
              <w:rPr>
                <w:rFonts w:ascii="Arial" w:hAnsi="Arial" w:cs="Arial"/>
                <w:color w:val="0070C0"/>
                <w:u w:val="single"/>
              </w:rPr>
            </w:pPr>
            <w:hyperlink r:id="rId23" w:history="1">
              <w:r w:rsidR="009F3926" w:rsidRPr="009F3926">
                <w:rPr>
                  <w:rStyle w:val="Hyperlink"/>
                  <w:rFonts w:ascii="Arial" w:hAnsi="Arial" w:cs="Arial"/>
                  <w:bCs/>
                  <w:color w:val="0070C0"/>
                </w:rPr>
                <w:t>Deafblind Interaction</w:t>
              </w:r>
            </w:hyperlink>
          </w:p>
          <w:p w:rsidR="000D0605" w:rsidRDefault="000D0605">
            <w:pPr>
              <w:rPr>
                <w:color w:val="1A1A1A"/>
                <w:highlight w:val="white"/>
              </w:rPr>
            </w:pPr>
          </w:p>
        </w:tc>
        <w:tc>
          <w:tcPr>
            <w:tcW w:w="388" w:type="pct"/>
          </w:tcPr>
          <w:p w:rsidR="000D0605" w:rsidRDefault="002E2484">
            <w:pPr>
              <w:rPr>
                <w:color w:val="1A1A1A"/>
                <w:highlight w:val="white"/>
              </w:rPr>
            </w:pPr>
            <w:r>
              <w:rPr>
                <w:color w:val="1A1A1A"/>
                <w:highlight w:val="white"/>
              </w:rPr>
              <w:t>___/20</w:t>
            </w:r>
          </w:p>
          <w:p w:rsidR="000D0605" w:rsidRDefault="002E2484">
            <w:pPr>
              <w:rPr>
                <w:color w:val="1A1A1A"/>
                <w:highlight w:val="white"/>
              </w:rPr>
            </w:pPr>
            <w:r>
              <w:rPr>
                <w:color w:val="1A1A1A"/>
                <w:highlight w:val="white"/>
              </w:rPr>
              <w:t>Points</w:t>
            </w:r>
          </w:p>
          <w:p w:rsidR="000D0605" w:rsidRDefault="000D0605">
            <w:pPr>
              <w:rPr>
                <w:color w:val="1A1A1A"/>
                <w:highlight w:val="white"/>
              </w:rPr>
            </w:pPr>
          </w:p>
          <w:p w:rsidR="000D0605" w:rsidRDefault="002E2484">
            <w:pPr>
              <w:rPr>
                <w:color w:val="1A1A1A"/>
                <w:highlight w:val="white"/>
              </w:rPr>
            </w:pPr>
            <w:r>
              <w:rPr>
                <w:color w:val="1A1A1A"/>
                <w:highlight w:val="white"/>
              </w:rPr>
              <w:t>2 points for each item with up to 4 points for excellence</w:t>
            </w:r>
          </w:p>
        </w:tc>
      </w:tr>
      <w:tr w:rsidR="000D0605" w:rsidTr="00E9384A">
        <w:trPr>
          <w:cantSplit/>
          <w:trHeight w:val="1134"/>
        </w:trPr>
        <w:tc>
          <w:tcPr>
            <w:tcW w:w="612" w:type="pct"/>
          </w:tcPr>
          <w:p w:rsidR="000D0605" w:rsidRDefault="002E2484">
            <w:pPr>
              <w:ind w:left="113" w:right="113"/>
              <w:rPr>
                <w:color w:val="1A1A1A"/>
                <w:highlight w:val="white"/>
              </w:rPr>
            </w:pPr>
            <w:r>
              <w:rPr>
                <w:color w:val="1A1A1A"/>
                <w:highlight w:val="white"/>
              </w:rPr>
              <w:lastRenderedPageBreak/>
              <w:t>Communication</w:t>
            </w:r>
          </w:p>
        </w:tc>
        <w:tc>
          <w:tcPr>
            <w:tcW w:w="1882" w:type="pct"/>
          </w:tcPr>
          <w:p w:rsidR="000D0605" w:rsidRDefault="002E2484">
            <w:pPr>
              <w:numPr>
                <w:ilvl w:val="0"/>
                <w:numId w:val="3"/>
              </w:numPr>
              <w:pBdr>
                <w:top w:val="nil"/>
                <w:left w:val="nil"/>
                <w:bottom w:val="nil"/>
                <w:right w:val="nil"/>
                <w:between w:val="nil"/>
              </w:pBdr>
              <w:spacing w:line="259" w:lineRule="auto"/>
              <w:ind w:left="389"/>
              <w:rPr>
                <w:color w:val="1A1A1A"/>
                <w:highlight w:val="white"/>
              </w:rPr>
            </w:pPr>
            <w:r>
              <w:rPr>
                <w:color w:val="1A1A1A"/>
                <w:highlight w:val="white"/>
              </w:rPr>
              <w:t>Uses appropriate communication techniques based on the child’s sensory abilities and language development to include tactile, auditory, and/or visual strategies, e.g. tactile cues, object symbols, tactile symbols, signs, spoken word, gestures</w:t>
            </w:r>
          </w:p>
          <w:p w:rsidR="000D0605" w:rsidRDefault="002E2484">
            <w:pPr>
              <w:numPr>
                <w:ilvl w:val="0"/>
                <w:numId w:val="3"/>
              </w:numPr>
              <w:pBdr>
                <w:top w:val="nil"/>
                <w:left w:val="nil"/>
                <w:bottom w:val="nil"/>
                <w:right w:val="nil"/>
                <w:between w:val="nil"/>
              </w:pBdr>
              <w:spacing w:line="259" w:lineRule="auto"/>
              <w:ind w:left="389"/>
              <w:rPr>
                <w:color w:val="1A1A1A"/>
                <w:highlight w:val="white"/>
              </w:rPr>
            </w:pPr>
            <w:r>
              <w:rPr>
                <w:color w:val="1A1A1A"/>
                <w:highlight w:val="white"/>
              </w:rPr>
              <w:t>Targets language at the child’s developmental level using short, simple words and phrases and consistent vocabulary during lessons</w:t>
            </w:r>
          </w:p>
          <w:p w:rsidR="000D0605" w:rsidRDefault="002E2484">
            <w:pPr>
              <w:numPr>
                <w:ilvl w:val="0"/>
                <w:numId w:val="3"/>
              </w:numPr>
              <w:pBdr>
                <w:top w:val="nil"/>
                <w:left w:val="nil"/>
                <w:bottom w:val="nil"/>
                <w:right w:val="nil"/>
                <w:between w:val="nil"/>
              </w:pBdr>
              <w:spacing w:line="259" w:lineRule="auto"/>
              <w:ind w:left="389"/>
              <w:rPr>
                <w:color w:val="1A1A1A"/>
                <w:highlight w:val="white"/>
              </w:rPr>
            </w:pPr>
            <w:r>
              <w:rPr>
                <w:color w:val="1A1A1A"/>
                <w:highlight w:val="white"/>
              </w:rPr>
              <w:t>Notices and responds to student’s attempts to communicate through bodily-tactile signals, signs, vocalizations, gestures, object symbols, etc.</w:t>
            </w:r>
          </w:p>
          <w:p w:rsidR="000D0605" w:rsidRDefault="002E2484">
            <w:pPr>
              <w:numPr>
                <w:ilvl w:val="0"/>
                <w:numId w:val="3"/>
              </w:numPr>
              <w:pBdr>
                <w:top w:val="nil"/>
                <w:left w:val="nil"/>
                <w:bottom w:val="nil"/>
                <w:right w:val="nil"/>
                <w:between w:val="nil"/>
              </w:pBdr>
              <w:spacing w:line="259" w:lineRule="auto"/>
              <w:ind w:left="389"/>
              <w:rPr>
                <w:color w:val="1A1A1A"/>
                <w:highlight w:val="white"/>
              </w:rPr>
            </w:pPr>
            <w:r>
              <w:rPr>
                <w:color w:val="1A1A1A"/>
                <w:highlight w:val="white"/>
              </w:rPr>
              <w:t>Uses appropriate level of calendar system for VI or DB to organize the day for the student</w:t>
            </w:r>
          </w:p>
          <w:p w:rsidR="000D0605" w:rsidRDefault="002E2484">
            <w:pPr>
              <w:numPr>
                <w:ilvl w:val="0"/>
                <w:numId w:val="3"/>
              </w:numPr>
              <w:pBdr>
                <w:top w:val="nil"/>
                <w:left w:val="nil"/>
                <w:bottom w:val="nil"/>
                <w:right w:val="nil"/>
                <w:between w:val="nil"/>
              </w:pBdr>
              <w:spacing w:after="160" w:line="259" w:lineRule="auto"/>
              <w:ind w:left="389"/>
              <w:rPr>
                <w:color w:val="1A1A1A"/>
                <w:highlight w:val="white"/>
              </w:rPr>
            </w:pPr>
            <w:r>
              <w:rPr>
                <w:color w:val="1A1A1A"/>
                <w:highlight w:val="white"/>
              </w:rPr>
              <w:t>Uses scripted routines to complete activities of daily living</w:t>
            </w:r>
          </w:p>
          <w:p w:rsidR="00654C79" w:rsidRDefault="00654C79">
            <w:pPr>
              <w:ind w:left="29"/>
              <w:rPr>
                <w:color w:val="1A1A1A"/>
                <w:highlight w:val="white"/>
              </w:rPr>
            </w:pPr>
          </w:p>
          <w:p w:rsidR="00654C79" w:rsidRPr="00654C79" w:rsidRDefault="00654C79" w:rsidP="00654C79">
            <w:pPr>
              <w:rPr>
                <w:highlight w:val="white"/>
              </w:rPr>
            </w:pPr>
          </w:p>
          <w:p w:rsidR="00654C79" w:rsidRPr="00654C79" w:rsidRDefault="00654C79" w:rsidP="00654C79">
            <w:pPr>
              <w:rPr>
                <w:highlight w:val="white"/>
              </w:rPr>
            </w:pPr>
          </w:p>
          <w:p w:rsidR="00654C79" w:rsidRPr="00654C79" w:rsidRDefault="00654C79" w:rsidP="00654C79">
            <w:pPr>
              <w:rPr>
                <w:highlight w:val="white"/>
              </w:rPr>
            </w:pPr>
          </w:p>
          <w:p w:rsidR="00654C79" w:rsidRPr="00654C79" w:rsidRDefault="00654C79" w:rsidP="00654C79">
            <w:pPr>
              <w:rPr>
                <w:highlight w:val="white"/>
              </w:rPr>
            </w:pPr>
          </w:p>
          <w:p w:rsidR="00654C79" w:rsidRPr="00654C79" w:rsidRDefault="00654C79" w:rsidP="00654C79">
            <w:pPr>
              <w:rPr>
                <w:highlight w:val="white"/>
              </w:rPr>
            </w:pPr>
          </w:p>
          <w:p w:rsidR="00654C79" w:rsidRPr="00654C79" w:rsidRDefault="00654C79" w:rsidP="00654C79">
            <w:pPr>
              <w:rPr>
                <w:highlight w:val="white"/>
              </w:rPr>
            </w:pPr>
          </w:p>
          <w:p w:rsidR="00654C79" w:rsidRPr="00654C79" w:rsidRDefault="00654C79" w:rsidP="00654C79">
            <w:pPr>
              <w:rPr>
                <w:highlight w:val="white"/>
              </w:rPr>
            </w:pPr>
          </w:p>
          <w:p w:rsidR="00654C79" w:rsidRPr="00654C79" w:rsidRDefault="00654C79" w:rsidP="00654C79">
            <w:pPr>
              <w:rPr>
                <w:highlight w:val="white"/>
              </w:rPr>
            </w:pPr>
          </w:p>
          <w:p w:rsidR="00654C79" w:rsidRDefault="00654C79" w:rsidP="00654C79">
            <w:pPr>
              <w:rPr>
                <w:highlight w:val="white"/>
              </w:rPr>
            </w:pPr>
          </w:p>
          <w:p w:rsidR="00654C79" w:rsidRPr="00654C79" w:rsidRDefault="00654C79" w:rsidP="00654C79">
            <w:pPr>
              <w:rPr>
                <w:highlight w:val="white"/>
              </w:rPr>
            </w:pPr>
          </w:p>
          <w:p w:rsidR="00654C79" w:rsidRPr="00654C79" w:rsidRDefault="00654C79" w:rsidP="00654C79">
            <w:pPr>
              <w:rPr>
                <w:highlight w:val="white"/>
              </w:rPr>
            </w:pPr>
          </w:p>
          <w:p w:rsidR="00654C79" w:rsidRPr="00654C79" w:rsidRDefault="00654C79" w:rsidP="00654C79">
            <w:pPr>
              <w:rPr>
                <w:highlight w:val="white"/>
              </w:rPr>
            </w:pPr>
          </w:p>
          <w:p w:rsidR="00654C79" w:rsidRDefault="00654C79" w:rsidP="00654C79">
            <w:pPr>
              <w:rPr>
                <w:highlight w:val="white"/>
              </w:rPr>
            </w:pPr>
          </w:p>
          <w:p w:rsidR="00654C79" w:rsidRDefault="00654C79" w:rsidP="00654C79">
            <w:pPr>
              <w:rPr>
                <w:highlight w:val="white"/>
              </w:rPr>
            </w:pPr>
          </w:p>
          <w:p w:rsidR="000D0605" w:rsidRPr="00654C79" w:rsidRDefault="00654C79" w:rsidP="00654C79">
            <w:pPr>
              <w:tabs>
                <w:tab w:val="left" w:pos="5007"/>
              </w:tabs>
              <w:rPr>
                <w:highlight w:val="white"/>
              </w:rPr>
            </w:pPr>
            <w:r>
              <w:rPr>
                <w:highlight w:val="white"/>
              </w:rPr>
              <w:tab/>
            </w:r>
          </w:p>
        </w:tc>
        <w:tc>
          <w:tcPr>
            <w:tcW w:w="1565" w:type="pct"/>
          </w:tcPr>
          <w:p w:rsidR="000D0605" w:rsidRDefault="002E2484">
            <w:pPr>
              <w:numPr>
                <w:ilvl w:val="0"/>
                <w:numId w:val="12"/>
              </w:numPr>
              <w:pBdr>
                <w:top w:val="nil"/>
                <w:left w:val="nil"/>
                <w:bottom w:val="nil"/>
                <w:right w:val="nil"/>
                <w:between w:val="nil"/>
              </w:pBdr>
              <w:spacing w:line="259" w:lineRule="auto"/>
              <w:ind w:left="213" w:hanging="213"/>
              <w:rPr>
                <w:color w:val="1A1A1A"/>
                <w:highlight w:val="white"/>
              </w:rPr>
            </w:pPr>
            <w:r>
              <w:rPr>
                <w:color w:val="1A1A1A"/>
                <w:highlight w:val="white"/>
              </w:rPr>
              <w:t>Uses gestures, signs, vocalizations, object symbols, and/or tactile symbols for both receptive and expressive communication during the activity</w:t>
            </w:r>
          </w:p>
          <w:p w:rsidR="000D0605" w:rsidRDefault="002E2484">
            <w:pPr>
              <w:numPr>
                <w:ilvl w:val="0"/>
                <w:numId w:val="12"/>
              </w:numPr>
              <w:pBdr>
                <w:top w:val="nil"/>
                <w:left w:val="nil"/>
                <w:bottom w:val="nil"/>
                <w:right w:val="nil"/>
                <w:between w:val="nil"/>
              </w:pBdr>
              <w:spacing w:line="259" w:lineRule="auto"/>
              <w:ind w:left="213" w:hanging="213"/>
              <w:rPr>
                <w:color w:val="1A1A1A"/>
                <w:highlight w:val="white"/>
              </w:rPr>
            </w:pPr>
            <w:r>
              <w:rPr>
                <w:color w:val="1A1A1A"/>
                <w:highlight w:val="white"/>
              </w:rPr>
              <w:t>Requests or rejects offered materials and activities</w:t>
            </w:r>
          </w:p>
          <w:p w:rsidR="000D0605" w:rsidRDefault="002E2484">
            <w:pPr>
              <w:numPr>
                <w:ilvl w:val="0"/>
                <w:numId w:val="12"/>
              </w:numPr>
              <w:pBdr>
                <w:top w:val="nil"/>
                <w:left w:val="nil"/>
                <w:bottom w:val="nil"/>
                <w:right w:val="nil"/>
                <w:between w:val="nil"/>
              </w:pBdr>
              <w:spacing w:line="259" w:lineRule="auto"/>
              <w:ind w:left="213" w:hanging="213"/>
              <w:rPr>
                <w:color w:val="1A1A1A"/>
                <w:highlight w:val="white"/>
              </w:rPr>
            </w:pPr>
            <w:r>
              <w:rPr>
                <w:color w:val="1A1A1A"/>
                <w:highlight w:val="white"/>
              </w:rPr>
              <w:t>Comments using bodily-tactile methods, signs, vocalizations, etc. during interactions with adult</w:t>
            </w:r>
          </w:p>
          <w:p w:rsidR="000D0605" w:rsidRDefault="002E2484">
            <w:pPr>
              <w:numPr>
                <w:ilvl w:val="0"/>
                <w:numId w:val="12"/>
              </w:numPr>
              <w:pBdr>
                <w:top w:val="nil"/>
                <w:left w:val="nil"/>
                <w:bottom w:val="nil"/>
                <w:right w:val="nil"/>
                <w:between w:val="nil"/>
              </w:pBdr>
              <w:spacing w:after="160" w:line="259" w:lineRule="auto"/>
              <w:ind w:left="213" w:hanging="213"/>
              <w:rPr>
                <w:color w:val="1A1A1A"/>
                <w:highlight w:val="white"/>
              </w:rPr>
            </w:pPr>
            <w:r>
              <w:rPr>
                <w:color w:val="1A1A1A"/>
                <w:highlight w:val="white"/>
              </w:rPr>
              <w:t>Responds to calendar symbols in such a way that indicates understanding of the next activity</w:t>
            </w:r>
          </w:p>
        </w:tc>
        <w:tc>
          <w:tcPr>
            <w:tcW w:w="553" w:type="pct"/>
          </w:tcPr>
          <w:p w:rsidR="000D0605" w:rsidRDefault="004838F5">
            <w:hyperlink r:id="rId24">
              <w:r w:rsidR="002E2484">
                <w:rPr>
                  <w:color w:val="0563C1"/>
                  <w:u w:val="single"/>
                </w:rPr>
                <w:t>Deafblind Interaction – Five Steps of Interaction</w:t>
              </w:r>
            </w:hyperlink>
          </w:p>
          <w:p w:rsidR="000D0605" w:rsidRDefault="000D0605"/>
          <w:p w:rsidR="000D0605" w:rsidRDefault="004838F5">
            <w:hyperlink r:id="rId25">
              <w:r w:rsidR="002E2484">
                <w:rPr>
                  <w:color w:val="0563C1"/>
                  <w:u w:val="single"/>
                </w:rPr>
                <w:t>Instructional Strategies for VIMI and DB</w:t>
              </w:r>
            </w:hyperlink>
          </w:p>
          <w:p w:rsidR="000D0605" w:rsidRDefault="000D0605"/>
          <w:p w:rsidR="000D0605" w:rsidRDefault="004838F5">
            <w:hyperlink r:id="rId26">
              <w:r w:rsidR="002E2484">
                <w:rPr>
                  <w:color w:val="0563C1"/>
                  <w:u w:val="single"/>
                </w:rPr>
                <w:t xml:space="preserve">Calendars by Robbie </w:t>
              </w:r>
              <w:proofErr w:type="spellStart"/>
              <w:r w:rsidR="002E2484">
                <w:rPr>
                  <w:color w:val="0563C1"/>
                  <w:u w:val="single"/>
                </w:rPr>
                <w:t>Blaha</w:t>
              </w:r>
              <w:proofErr w:type="spellEnd"/>
            </w:hyperlink>
          </w:p>
        </w:tc>
        <w:tc>
          <w:tcPr>
            <w:tcW w:w="388" w:type="pct"/>
          </w:tcPr>
          <w:p w:rsidR="000D0605" w:rsidRDefault="002E2484">
            <w:pPr>
              <w:rPr>
                <w:color w:val="1A1A1A"/>
                <w:highlight w:val="white"/>
              </w:rPr>
            </w:pPr>
            <w:r>
              <w:rPr>
                <w:color w:val="1A1A1A"/>
                <w:highlight w:val="white"/>
              </w:rPr>
              <w:t>___20 points</w:t>
            </w:r>
          </w:p>
          <w:p w:rsidR="000D0605" w:rsidRDefault="000D0605">
            <w:pPr>
              <w:rPr>
                <w:color w:val="1A1A1A"/>
                <w:highlight w:val="white"/>
              </w:rPr>
            </w:pPr>
          </w:p>
          <w:p w:rsidR="000D0605" w:rsidRDefault="002E2484">
            <w:pPr>
              <w:rPr>
                <w:color w:val="1A1A1A"/>
                <w:highlight w:val="white"/>
              </w:rPr>
            </w:pPr>
            <w:r>
              <w:rPr>
                <w:color w:val="1A1A1A"/>
                <w:highlight w:val="white"/>
              </w:rPr>
              <w:t>3 points for each item with up to 5 points for excellence</w:t>
            </w:r>
          </w:p>
        </w:tc>
      </w:tr>
      <w:tr w:rsidR="000D0605" w:rsidTr="00E9384A">
        <w:trPr>
          <w:cantSplit/>
          <w:trHeight w:val="3888"/>
        </w:trPr>
        <w:tc>
          <w:tcPr>
            <w:tcW w:w="612" w:type="pct"/>
          </w:tcPr>
          <w:p w:rsidR="000D0605" w:rsidRDefault="002E2484">
            <w:pPr>
              <w:ind w:left="113" w:right="113"/>
              <w:rPr>
                <w:color w:val="1A1A1A"/>
                <w:highlight w:val="white"/>
              </w:rPr>
            </w:pPr>
            <w:r>
              <w:rPr>
                <w:color w:val="1A1A1A"/>
                <w:highlight w:val="white"/>
              </w:rPr>
              <w:lastRenderedPageBreak/>
              <w:t>Activities (including use of equipment</w:t>
            </w:r>
          </w:p>
          <w:p w:rsidR="000D0605" w:rsidRDefault="002E2484">
            <w:pPr>
              <w:ind w:left="113" w:right="113"/>
              <w:rPr>
                <w:color w:val="1A1A1A"/>
                <w:highlight w:val="white"/>
              </w:rPr>
            </w:pPr>
            <w:r>
              <w:rPr>
                <w:color w:val="1A1A1A"/>
                <w:highlight w:val="white"/>
              </w:rPr>
              <w:t>learning environments design)</w:t>
            </w:r>
          </w:p>
        </w:tc>
        <w:tc>
          <w:tcPr>
            <w:tcW w:w="1882" w:type="pct"/>
          </w:tcPr>
          <w:p w:rsidR="000D0605" w:rsidRDefault="002E2484">
            <w:pPr>
              <w:numPr>
                <w:ilvl w:val="0"/>
                <w:numId w:val="2"/>
              </w:numPr>
              <w:pBdr>
                <w:top w:val="nil"/>
                <w:left w:val="nil"/>
                <w:bottom w:val="nil"/>
                <w:right w:val="nil"/>
                <w:between w:val="nil"/>
              </w:pBdr>
              <w:spacing w:line="259" w:lineRule="auto"/>
              <w:ind w:left="389"/>
              <w:rPr>
                <w:color w:val="1A1A1A"/>
                <w:highlight w:val="white"/>
              </w:rPr>
            </w:pPr>
            <w:r>
              <w:rPr>
                <w:color w:val="1A1A1A"/>
                <w:highlight w:val="white"/>
              </w:rPr>
              <w:t>Selects appropriate equipment based on IEP goals and child’s ability. Sets up and safely uses equipment as it was designed and checks materials for safety</w:t>
            </w:r>
          </w:p>
          <w:p w:rsidR="000D0605" w:rsidRDefault="002E2484">
            <w:pPr>
              <w:numPr>
                <w:ilvl w:val="0"/>
                <w:numId w:val="2"/>
              </w:numPr>
              <w:pBdr>
                <w:top w:val="nil"/>
                <w:left w:val="nil"/>
                <w:bottom w:val="nil"/>
                <w:right w:val="nil"/>
                <w:between w:val="nil"/>
              </w:pBdr>
              <w:spacing w:line="259" w:lineRule="auto"/>
              <w:ind w:left="389"/>
              <w:rPr>
                <w:color w:val="1A1A1A"/>
                <w:highlight w:val="white"/>
              </w:rPr>
            </w:pPr>
            <w:r>
              <w:rPr>
                <w:color w:val="1A1A1A"/>
                <w:highlight w:val="white"/>
              </w:rPr>
              <w:t>Plans activities and designs learning environments that are based on the student’s interests and preferences</w:t>
            </w:r>
          </w:p>
          <w:p w:rsidR="000D0605" w:rsidRDefault="002E2484">
            <w:pPr>
              <w:numPr>
                <w:ilvl w:val="0"/>
                <w:numId w:val="2"/>
              </w:numPr>
              <w:pBdr>
                <w:top w:val="nil"/>
                <w:left w:val="nil"/>
                <w:bottom w:val="nil"/>
                <w:right w:val="nil"/>
                <w:between w:val="nil"/>
              </w:pBdr>
              <w:spacing w:line="259" w:lineRule="auto"/>
              <w:ind w:left="389"/>
              <w:rPr>
                <w:color w:val="1A1A1A"/>
                <w:highlight w:val="white"/>
              </w:rPr>
            </w:pPr>
            <w:r>
              <w:rPr>
                <w:color w:val="1A1A1A"/>
                <w:highlight w:val="white"/>
              </w:rPr>
              <w:t xml:space="preserve">Uses materials in all activities that include many common objects made of various materials and with attention to sensory channel abilities </w:t>
            </w:r>
          </w:p>
          <w:p w:rsidR="000D0605" w:rsidRDefault="002E2484">
            <w:pPr>
              <w:numPr>
                <w:ilvl w:val="0"/>
                <w:numId w:val="2"/>
              </w:numPr>
              <w:pBdr>
                <w:top w:val="nil"/>
                <w:left w:val="nil"/>
                <w:bottom w:val="nil"/>
                <w:right w:val="nil"/>
                <w:between w:val="nil"/>
              </w:pBdr>
              <w:spacing w:line="259" w:lineRule="auto"/>
              <w:ind w:left="389"/>
              <w:rPr>
                <w:color w:val="1A1A1A"/>
                <w:highlight w:val="white"/>
              </w:rPr>
            </w:pPr>
            <w:r>
              <w:rPr>
                <w:color w:val="1A1A1A"/>
                <w:highlight w:val="white"/>
              </w:rPr>
              <w:t>Designs learning environments to target specific student goals in the IEP in either academic and/or functional skills areas</w:t>
            </w:r>
          </w:p>
          <w:p w:rsidR="000D0605" w:rsidRDefault="002E2484">
            <w:pPr>
              <w:numPr>
                <w:ilvl w:val="0"/>
                <w:numId w:val="2"/>
              </w:numPr>
              <w:pBdr>
                <w:top w:val="nil"/>
                <w:left w:val="nil"/>
                <w:bottom w:val="nil"/>
                <w:right w:val="nil"/>
                <w:between w:val="nil"/>
              </w:pBdr>
              <w:spacing w:line="259" w:lineRule="auto"/>
              <w:ind w:left="389"/>
              <w:rPr>
                <w:color w:val="1A1A1A"/>
                <w:highlight w:val="white"/>
              </w:rPr>
            </w:pPr>
            <w:r>
              <w:rPr>
                <w:color w:val="1A1A1A"/>
                <w:highlight w:val="white"/>
              </w:rPr>
              <w:t>Uses signs of student habituation to the activity to indicate a need for novelty to be introduced to the activity or learning environment</w:t>
            </w:r>
          </w:p>
          <w:p w:rsidR="000D0605" w:rsidRDefault="002E2484">
            <w:pPr>
              <w:numPr>
                <w:ilvl w:val="0"/>
                <w:numId w:val="2"/>
              </w:numPr>
              <w:pBdr>
                <w:top w:val="nil"/>
                <w:left w:val="nil"/>
                <w:bottom w:val="nil"/>
                <w:right w:val="nil"/>
                <w:between w:val="nil"/>
              </w:pBdr>
              <w:spacing w:line="259" w:lineRule="auto"/>
              <w:ind w:left="389"/>
              <w:rPr>
                <w:color w:val="1A1A1A"/>
                <w:highlight w:val="white"/>
              </w:rPr>
            </w:pPr>
            <w:r>
              <w:rPr>
                <w:color w:val="1A1A1A"/>
                <w:highlight w:val="white"/>
              </w:rPr>
              <w:t>Provides opportunities for student interactions with peers in some activities each day</w:t>
            </w:r>
          </w:p>
          <w:p w:rsidR="000D0605" w:rsidRDefault="002E2484">
            <w:pPr>
              <w:numPr>
                <w:ilvl w:val="0"/>
                <w:numId w:val="2"/>
              </w:numPr>
              <w:pBdr>
                <w:top w:val="nil"/>
                <w:left w:val="nil"/>
                <w:bottom w:val="nil"/>
                <w:right w:val="nil"/>
                <w:between w:val="nil"/>
              </w:pBdr>
              <w:spacing w:line="259" w:lineRule="auto"/>
              <w:ind w:left="389"/>
              <w:rPr>
                <w:color w:val="1A1A1A"/>
                <w:highlight w:val="white"/>
              </w:rPr>
            </w:pPr>
            <w:r>
              <w:rPr>
                <w:color w:val="1A1A1A"/>
                <w:highlight w:val="white"/>
              </w:rPr>
              <w:t>Adapts group activities so that student can access fully and respond at his/her developmental level independently or with only limited support</w:t>
            </w:r>
          </w:p>
          <w:p w:rsidR="000D0605" w:rsidRDefault="002E2484">
            <w:pPr>
              <w:numPr>
                <w:ilvl w:val="0"/>
                <w:numId w:val="2"/>
              </w:numPr>
              <w:pBdr>
                <w:top w:val="nil"/>
                <w:left w:val="nil"/>
                <w:bottom w:val="nil"/>
                <w:right w:val="nil"/>
                <w:between w:val="nil"/>
              </w:pBdr>
              <w:spacing w:after="160" w:line="259" w:lineRule="auto"/>
              <w:ind w:left="389"/>
              <w:rPr>
                <w:color w:val="1A1A1A"/>
                <w:highlight w:val="white"/>
              </w:rPr>
            </w:pPr>
            <w:r>
              <w:rPr>
                <w:color w:val="1A1A1A"/>
                <w:highlight w:val="white"/>
              </w:rPr>
              <w:t>Includes activities that include both independent play and adult-child interactions throughout the day</w:t>
            </w:r>
          </w:p>
        </w:tc>
        <w:tc>
          <w:tcPr>
            <w:tcW w:w="1565" w:type="pct"/>
          </w:tcPr>
          <w:p w:rsidR="000D0605" w:rsidRDefault="002E2484">
            <w:pPr>
              <w:numPr>
                <w:ilvl w:val="0"/>
                <w:numId w:val="5"/>
              </w:numPr>
              <w:pBdr>
                <w:top w:val="nil"/>
                <w:left w:val="nil"/>
                <w:bottom w:val="nil"/>
                <w:right w:val="nil"/>
                <w:between w:val="nil"/>
              </w:pBdr>
              <w:spacing w:line="259" w:lineRule="auto"/>
              <w:ind w:left="250" w:hanging="200"/>
            </w:pPr>
            <w:r>
              <w:rPr>
                <w:color w:val="000000"/>
              </w:rPr>
              <w:t>Appears comfortable using the equipment after a short time</w:t>
            </w:r>
          </w:p>
          <w:p w:rsidR="000D0605" w:rsidRDefault="002E2484">
            <w:pPr>
              <w:numPr>
                <w:ilvl w:val="0"/>
                <w:numId w:val="5"/>
              </w:numPr>
              <w:pBdr>
                <w:top w:val="nil"/>
                <w:left w:val="nil"/>
                <w:bottom w:val="nil"/>
                <w:right w:val="nil"/>
                <w:between w:val="nil"/>
              </w:pBdr>
              <w:spacing w:line="259" w:lineRule="auto"/>
              <w:ind w:left="250" w:hanging="200"/>
            </w:pPr>
            <w:r>
              <w:rPr>
                <w:color w:val="000000"/>
              </w:rPr>
              <w:t>Extends the amount of time they will play when positioned in/on equipment</w:t>
            </w:r>
          </w:p>
          <w:p w:rsidR="000D0605" w:rsidRDefault="002E2484">
            <w:pPr>
              <w:numPr>
                <w:ilvl w:val="0"/>
                <w:numId w:val="5"/>
              </w:numPr>
              <w:pBdr>
                <w:top w:val="nil"/>
                <w:left w:val="nil"/>
                <w:bottom w:val="nil"/>
                <w:right w:val="nil"/>
                <w:between w:val="nil"/>
              </w:pBdr>
              <w:spacing w:line="259" w:lineRule="auto"/>
              <w:ind w:left="250" w:hanging="200"/>
            </w:pPr>
            <w:r>
              <w:rPr>
                <w:color w:val="000000"/>
              </w:rPr>
              <w:t>Shows curiosity and attempts to explore objects (grasps, bangs, mouths, etc.)</w:t>
            </w:r>
          </w:p>
          <w:p w:rsidR="000D0605" w:rsidRDefault="002E2484">
            <w:pPr>
              <w:numPr>
                <w:ilvl w:val="0"/>
                <w:numId w:val="5"/>
              </w:numPr>
              <w:pBdr>
                <w:top w:val="nil"/>
                <w:left w:val="nil"/>
                <w:bottom w:val="nil"/>
                <w:right w:val="nil"/>
                <w:between w:val="nil"/>
              </w:pBdr>
              <w:spacing w:line="259" w:lineRule="auto"/>
              <w:ind w:left="250" w:hanging="200"/>
            </w:pPr>
            <w:r>
              <w:rPr>
                <w:color w:val="000000"/>
              </w:rPr>
              <w:t>Is active throughout the day and not idle or asleep for long periods of time</w:t>
            </w:r>
          </w:p>
          <w:p w:rsidR="000D0605" w:rsidRDefault="002E2484">
            <w:pPr>
              <w:numPr>
                <w:ilvl w:val="0"/>
                <w:numId w:val="5"/>
              </w:numPr>
              <w:pBdr>
                <w:top w:val="nil"/>
                <w:left w:val="nil"/>
                <w:bottom w:val="nil"/>
                <w:right w:val="nil"/>
                <w:between w:val="nil"/>
              </w:pBdr>
              <w:spacing w:after="160" w:line="259" w:lineRule="auto"/>
              <w:ind w:left="250" w:hanging="200"/>
            </w:pPr>
            <w:r>
              <w:rPr>
                <w:color w:val="000000"/>
              </w:rPr>
              <w:t>Completes a schedule of learning activities that fill the entire day with little down time</w:t>
            </w:r>
          </w:p>
          <w:p w:rsidR="000D0605" w:rsidRDefault="000D0605">
            <w:pPr>
              <w:rPr>
                <w:color w:val="1A1A1A"/>
                <w:highlight w:val="white"/>
              </w:rPr>
            </w:pPr>
          </w:p>
        </w:tc>
        <w:tc>
          <w:tcPr>
            <w:tcW w:w="553" w:type="pct"/>
          </w:tcPr>
          <w:p w:rsidR="009F3926" w:rsidRPr="009F3926" w:rsidRDefault="004838F5" w:rsidP="009F3926">
            <w:pPr>
              <w:pStyle w:val="NormalWeb"/>
              <w:shd w:val="clear" w:color="auto" w:fill="FFFFFF"/>
              <w:spacing w:before="0" w:beforeAutospacing="0" w:after="420" w:afterAutospacing="0"/>
              <w:rPr>
                <w:rFonts w:ascii="Arial" w:hAnsi="Arial" w:cs="Arial"/>
                <w:color w:val="0070C0"/>
                <w:u w:val="single"/>
              </w:rPr>
            </w:pPr>
            <w:hyperlink r:id="rId27" w:history="1">
              <w:r w:rsidR="009F3926" w:rsidRPr="009F3926">
                <w:rPr>
                  <w:rStyle w:val="Hyperlink"/>
                  <w:rFonts w:ascii="Arial" w:hAnsi="Arial" w:cs="Arial"/>
                  <w:bCs/>
                  <w:color w:val="0070C0"/>
                </w:rPr>
                <w:t>Quick Guide to Active Le</w:t>
              </w:r>
              <w:bookmarkStart w:id="2" w:name="_GoBack"/>
              <w:bookmarkEnd w:id="2"/>
              <w:r w:rsidR="009F3926" w:rsidRPr="009F3926">
                <w:rPr>
                  <w:rStyle w:val="Hyperlink"/>
                  <w:rFonts w:ascii="Arial" w:hAnsi="Arial" w:cs="Arial"/>
                  <w:bCs/>
                  <w:color w:val="0070C0"/>
                </w:rPr>
                <w:t>a</w:t>
              </w:r>
              <w:r w:rsidR="009F3926" w:rsidRPr="009F3926">
                <w:rPr>
                  <w:rStyle w:val="Hyperlink"/>
                  <w:rFonts w:ascii="Arial" w:hAnsi="Arial" w:cs="Arial"/>
                  <w:bCs/>
                  <w:color w:val="0070C0"/>
                </w:rPr>
                <w:t>rning Equipment (PDF)</w:t>
              </w:r>
            </w:hyperlink>
          </w:p>
          <w:p w:rsidR="009F3926" w:rsidRPr="009F3926" w:rsidRDefault="004838F5" w:rsidP="009F3926">
            <w:pPr>
              <w:pStyle w:val="NormalWeb"/>
              <w:shd w:val="clear" w:color="auto" w:fill="FFFFFF"/>
              <w:spacing w:before="0" w:beforeAutospacing="0" w:after="420" w:afterAutospacing="0"/>
              <w:rPr>
                <w:rFonts w:ascii="Arial" w:hAnsi="Arial" w:cs="Arial"/>
                <w:color w:val="0070C0"/>
                <w:u w:val="single"/>
              </w:rPr>
            </w:pPr>
            <w:hyperlink r:id="rId28" w:history="1">
              <w:r w:rsidR="009F3926" w:rsidRPr="009F3926">
                <w:rPr>
                  <w:rStyle w:val="Strong"/>
                  <w:rFonts w:ascii="Arial" w:hAnsi="Arial" w:cs="Arial"/>
                  <w:b w:val="0"/>
                  <w:color w:val="0070C0"/>
                  <w:u w:val="single"/>
                </w:rPr>
                <w:t>Attractive Objects</w:t>
              </w:r>
            </w:hyperlink>
          </w:p>
          <w:p w:rsidR="009F3926" w:rsidRPr="009F3926" w:rsidRDefault="004838F5" w:rsidP="009F3926">
            <w:pPr>
              <w:pStyle w:val="NormalWeb"/>
              <w:shd w:val="clear" w:color="auto" w:fill="FFFFFF"/>
              <w:spacing w:before="0" w:beforeAutospacing="0" w:after="420" w:afterAutospacing="0"/>
              <w:rPr>
                <w:rFonts w:ascii="Arial" w:hAnsi="Arial" w:cs="Arial"/>
                <w:color w:val="0070C0"/>
                <w:u w:val="single"/>
              </w:rPr>
            </w:pPr>
            <w:hyperlink r:id="rId29" w:history="1">
              <w:r w:rsidR="009F3926" w:rsidRPr="009F3926">
                <w:rPr>
                  <w:rStyle w:val="Strong"/>
                  <w:rFonts w:ascii="Arial" w:hAnsi="Arial" w:cs="Arial"/>
                  <w:b w:val="0"/>
                  <w:color w:val="0070C0"/>
                  <w:u w:val="single"/>
                </w:rPr>
                <w:t>Dynamic Learning Circle</w:t>
              </w:r>
            </w:hyperlink>
          </w:p>
          <w:p w:rsidR="000D0605" w:rsidRDefault="000D0605"/>
        </w:tc>
        <w:tc>
          <w:tcPr>
            <w:tcW w:w="388" w:type="pct"/>
          </w:tcPr>
          <w:p w:rsidR="000D0605" w:rsidRDefault="002E2484">
            <w:pPr>
              <w:rPr>
                <w:color w:val="1A1A1A"/>
                <w:highlight w:val="white"/>
              </w:rPr>
            </w:pPr>
            <w:r>
              <w:rPr>
                <w:color w:val="1A1A1A"/>
                <w:highlight w:val="white"/>
              </w:rPr>
              <w:t>___/20 points</w:t>
            </w:r>
          </w:p>
          <w:p w:rsidR="000D0605" w:rsidRDefault="000D0605">
            <w:pPr>
              <w:rPr>
                <w:color w:val="1A1A1A"/>
                <w:highlight w:val="white"/>
              </w:rPr>
            </w:pPr>
          </w:p>
          <w:p w:rsidR="000D0605" w:rsidRDefault="002E2484">
            <w:pPr>
              <w:rPr>
                <w:color w:val="1A1A1A"/>
                <w:highlight w:val="white"/>
              </w:rPr>
            </w:pPr>
            <w:r>
              <w:rPr>
                <w:color w:val="1A1A1A"/>
                <w:highlight w:val="white"/>
              </w:rPr>
              <w:t xml:space="preserve">2 points for each item with up to 4 points for excellence  </w:t>
            </w:r>
          </w:p>
        </w:tc>
      </w:tr>
      <w:tr w:rsidR="000D0605" w:rsidTr="00E9384A">
        <w:trPr>
          <w:cantSplit/>
          <w:trHeight w:val="1134"/>
        </w:trPr>
        <w:tc>
          <w:tcPr>
            <w:tcW w:w="612" w:type="pct"/>
          </w:tcPr>
          <w:p w:rsidR="000D0605" w:rsidRDefault="002E2484">
            <w:pPr>
              <w:ind w:left="113" w:right="113"/>
              <w:rPr>
                <w:color w:val="1A1A1A"/>
                <w:highlight w:val="white"/>
              </w:rPr>
            </w:pPr>
            <w:r>
              <w:rPr>
                <w:color w:val="1A1A1A"/>
                <w:highlight w:val="white"/>
              </w:rPr>
              <w:t>Family training / resources</w:t>
            </w:r>
          </w:p>
        </w:tc>
        <w:tc>
          <w:tcPr>
            <w:tcW w:w="1882" w:type="pct"/>
          </w:tcPr>
          <w:p w:rsidR="000D0605" w:rsidRDefault="002E2484">
            <w:pPr>
              <w:numPr>
                <w:ilvl w:val="0"/>
                <w:numId w:val="7"/>
              </w:numPr>
              <w:pBdr>
                <w:top w:val="nil"/>
                <w:left w:val="nil"/>
                <w:bottom w:val="nil"/>
                <w:right w:val="nil"/>
                <w:between w:val="nil"/>
              </w:pBdr>
              <w:spacing w:line="259" w:lineRule="auto"/>
              <w:ind w:left="389"/>
              <w:rPr>
                <w:color w:val="1A1A1A"/>
                <w:highlight w:val="white"/>
              </w:rPr>
            </w:pPr>
            <w:r>
              <w:rPr>
                <w:color w:val="1A1A1A"/>
                <w:highlight w:val="white"/>
              </w:rPr>
              <w:t xml:space="preserve">Has informed </w:t>
            </w:r>
            <w:proofErr w:type="spellStart"/>
            <w:r>
              <w:rPr>
                <w:color w:val="1A1A1A"/>
                <w:highlight w:val="white"/>
              </w:rPr>
              <w:t>th</w:t>
            </w:r>
            <w:proofErr w:type="spellEnd"/>
            <w:r>
              <w:rPr>
                <w:color w:val="1A1A1A"/>
                <w:highlight w:val="white"/>
              </w:rPr>
              <w:t xml:space="preserve"> family about Active Learning Space website and newsletter, online training courses, and webinars.</w:t>
            </w:r>
          </w:p>
          <w:p w:rsidR="000D0605" w:rsidRDefault="002E2484">
            <w:pPr>
              <w:numPr>
                <w:ilvl w:val="0"/>
                <w:numId w:val="7"/>
              </w:numPr>
              <w:pBdr>
                <w:top w:val="nil"/>
                <w:left w:val="nil"/>
                <w:bottom w:val="nil"/>
                <w:right w:val="nil"/>
                <w:between w:val="nil"/>
              </w:pBdr>
              <w:spacing w:line="259" w:lineRule="auto"/>
              <w:ind w:left="389"/>
              <w:rPr>
                <w:color w:val="1A1A1A"/>
                <w:highlight w:val="white"/>
              </w:rPr>
            </w:pPr>
            <w:r>
              <w:rPr>
                <w:color w:val="1A1A1A"/>
                <w:highlight w:val="white"/>
              </w:rPr>
              <w:t xml:space="preserve">Can answer questions about equipment, materials, techniques being used </w:t>
            </w:r>
          </w:p>
          <w:p w:rsidR="000D0605" w:rsidRDefault="002E2484">
            <w:pPr>
              <w:numPr>
                <w:ilvl w:val="0"/>
                <w:numId w:val="7"/>
              </w:numPr>
              <w:pBdr>
                <w:top w:val="nil"/>
                <w:left w:val="nil"/>
                <w:bottom w:val="nil"/>
                <w:right w:val="nil"/>
                <w:between w:val="nil"/>
              </w:pBdr>
              <w:spacing w:after="160" w:line="259" w:lineRule="auto"/>
              <w:ind w:left="389"/>
              <w:rPr>
                <w:color w:val="1A1A1A"/>
                <w:highlight w:val="white"/>
              </w:rPr>
            </w:pPr>
            <w:r>
              <w:rPr>
                <w:color w:val="1A1A1A"/>
                <w:highlight w:val="white"/>
              </w:rPr>
              <w:t>Shares pictures, video and other communication regularly with family about activities and child’s progress</w:t>
            </w:r>
          </w:p>
        </w:tc>
        <w:tc>
          <w:tcPr>
            <w:tcW w:w="1565" w:type="pct"/>
          </w:tcPr>
          <w:p w:rsidR="000D0605" w:rsidRDefault="002E2484">
            <w:pPr>
              <w:numPr>
                <w:ilvl w:val="0"/>
                <w:numId w:val="1"/>
              </w:numPr>
              <w:pBdr>
                <w:top w:val="nil"/>
                <w:left w:val="nil"/>
                <w:bottom w:val="nil"/>
                <w:right w:val="nil"/>
                <w:between w:val="nil"/>
              </w:pBdr>
              <w:spacing w:line="259" w:lineRule="auto"/>
              <w:ind w:left="250" w:hanging="250"/>
            </w:pPr>
            <w:r>
              <w:rPr>
                <w:color w:val="000000"/>
              </w:rPr>
              <w:t>Participate in similar activities in the home environment.</w:t>
            </w:r>
          </w:p>
          <w:p w:rsidR="000D0605" w:rsidRDefault="002E2484">
            <w:pPr>
              <w:numPr>
                <w:ilvl w:val="0"/>
                <w:numId w:val="1"/>
              </w:numPr>
              <w:pBdr>
                <w:top w:val="nil"/>
                <w:left w:val="nil"/>
                <w:bottom w:val="nil"/>
                <w:right w:val="nil"/>
                <w:between w:val="nil"/>
              </w:pBdr>
              <w:spacing w:after="160" w:line="259" w:lineRule="auto"/>
              <w:ind w:left="250" w:hanging="250"/>
            </w:pPr>
            <w:r>
              <w:rPr>
                <w:color w:val="000000"/>
              </w:rPr>
              <w:t>Demonstrate targeted skills in the home environment.</w:t>
            </w:r>
          </w:p>
          <w:p w:rsidR="000D0605" w:rsidRDefault="000D0605">
            <w:pPr>
              <w:ind w:left="250" w:hanging="250"/>
              <w:rPr>
                <w:highlight w:val="white"/>
              </w:rPr>
            </w:pPr>
          </w:p>
        </w:tc>
        <w:tc>
          <w:tcPr>
            <w:tcW w:w="553" w:type="pct"/>
          </w:tcPr>
          <w:p w:rsidR="009F3926" w:rsidRPr="009F3926" w:rsidRDefault="004838F5" w:rsidP="009F3926">
            <w:pPr>
              <w:pStyle w:val="NormalWeb"/>
              <w:shd w:val="clear" w:color="auto" w:fill="FFFFFF"/>
              <w:spacing w:before="0" w:beforeAutospacing="0" w:after="420" w:afterAutospacing="0"/>
              <w:rPr>
                <w:rFonts w:ascii="Arial" w:hAnsi="Arial" w:cs="Arial"/>
                <w:b/>
                <w:color w:val="0070C0"/>
                <w:u w:val="single"/>
              </w:rPr>
            </w:pPr>
            <w:hyperlink r:id="rId30" w:history="1">
              <w:r w:rsidR="009F3926" w:rsidRPr="009F3926">
                <w:rPr>
                  <w:rStyle w:val="Strong"/>
                  <w:rFonts w:ascii="Arial" w:eastAsiaTheme="majorEastAsia" w:hAnsi="Arial" w:cs="Arial"/>
                  <w:b w:val="0"/>
                  <w:color w:val="0070C0"/>
                  <w:u w:val="single"/>
                </w:rPr>
                <w:t>ALS Newsletter</w:t>
              </w:r>
            </w:hyperlink>
          </w:p>
          <w:p w:rsidR="009F3926" w:rsidRPr="009F3926" w:rsidRDefault="004838F5" w:rsidP="009F3926">
            <w:pPr>
              <w:pStyle w:val="NormalWeb"/>
              <w:shd w:val="clear" w:color="auto" w:fill="FFFFFF"/>
              <w:spacing w:before="0" w:beforeAutospacing="0" w:after="420" w:afterAutospacing="0"/>
              <w:rPr>
                <w:rFonts w:ascii="Arial" w:hAnsi="Arial" w:cs="Arial"/>
                <w:b/>
                <w:color w:val="0070C0"/>
                <w:u w:val="single"/>
              </w:rPr>
            </w:pPr>
            <w:hyperlink r:id="rId31" w:history="1">
              <w:r w:rsidR="009F3926" w:rsidRPr="009F3926">
                <w:rPr>
                  <w:rStyle w:val="Strong"/>
                  <w:rFonts w:ascii="Arial" w:eastAsiaTheme="majorEastAsia" w:hAnsi="Arial" w:cs="Arial"/>
                  <w:b w:val="0"/>
                  <w:color w:val="0070C0"/>
                  <w:u w:val="single"/>
                </w:rPr>
                <w:t>ALS Webinars</w:t>
              </w:r>
            </w:hyperlink>
          </w:p>
          <w:p w:rsidR="000D0605" w:rsidRPr="009F3926" w:rsidRDefault="004838F5" w:rsidP="009F3926">
            <w:pPr>
              <w:pStyle w:val="NormalWeb"/>
              <w:shd w:val="clear" w:color="auto" w:fill="FFFFFF"/>
              <w:spacing w:before="0" w:beforeAutospacing="0" w:after="420" w:afterAutospacing="0"/>
              <w:rPr>
                <w:rFonts w:ascii="Arial" w:hAnsi="Arial" w:cs="Arial"/>
                <w:color w:val="54595F"/>
              </w:rPr>
            </w:pPr>
            <w:hyperlink r:id="rId32" w:history="1">
              <w:r w:rsidR="009F3926" w:rsidRPr="009F3926">
                <w:rPr>
                  <w:rStyle w:val="Strong"/>
                  <w:rFonts w:ascii="Arial" w:eastAsiaTheme="majorEastAsia" w:hAnsi="Arial" w:cs="Arial"/>
                  <w:b w:val="0"/>
                  <w:color w:val="0070C0"/>
                  <w:u w:val="single"/>
                </w:rPr>
                <w:t>ALS Self-Paced Modules</w:t>
              </w:r>
            </w:hyperlink>
          </w:p>
        </w:tc>
        <w:tc>
          <w:tcPr>
            <w:tcW w:w="388" w:type="pct"/>
          </w:tcPr>
          <w:p w:rsidR="000D0605" w:rsidRDefault="002E2484">
            <w:pPr>
              <w:rPr>
                <w:color w:val="1A1A1A"/>
                <w:highlight w:val="white"/>
              </w:rPr>
            </w:pPr>
            <w:r>
              <w:rPr>
                <w:color w:val="1A1A1A"/>
                <w:highlight w:val="white"/>
              </w:rPr>
              <w:t>___/5 points</w:t>
            </w:r>
          </w:p>
          <w:p w:rsidR="000D0605" w:rsidRDefault="000D0605">
            <w:pPr>
              <w:rPr>
                <w:color w:val="1A1A1A"/>
                <w:highlight w:val="white"/>
              </w:rPr>
            </w:pPr>
          </w:p>
          <w:p w:rsidR="000D0605" w:rsidRDefault="002E2484">
            <w:pPr>
              <w:rPr>
                <w:color w:val="1A1A1A"/>
                <w:highlight w:val="white"/>
              </w:rPr>
            </w:pPr>
            <w:r>
              <w:rPr>
                <w:color w:val="1A1A1A"/>
                <w:highlight w:val="white"/>
              </w:rPr>
              <w:t>1 point for each item with up to 2 points for excellence</w:t>
            </w:r>
          </w:p>
        </w:tc>
      </w:tr>
    </w:tbl>
    <w:p w:rsidR="000D0605" w:rsidRDefault="000D0605">
      <w:pPr>
        <w:rPr>
          <w:b/>
        </w:rPr>
        <w:sectPr w:rsidR="000D0605" w:rsidSect="00E9384A">
          <w:pgSz w:w="15840" w:h="12240" w:orient="landscape" w:code="1"/>
          <w:pgMar w:top="432" w:right="432" w:bottom="432" w:left="432" w:header="720" w:footer="144" w:gutter="0"/>
          <w:cols w:space="720"/>
          <w:docGrid w:linePitch="272"/>
        </w:sectPr>
      </w:pPr>
    </w:p>
    <w:p w:rsidR="000D0605" w:rsidRDefault="000D0605">
      <w:pPr>
        <w:jc w:val="center"/>
        <w:rPr>
          <w:color w:val="861714"/>
          <w:sz w:val="28"/>
          <w:szCs w:val="28"/>
        </w:rPr>
      </w:pPr>
    </w:p>
    <w:p w:rsidR="00654C79" w:rsidRDefault="00654C79">
      <w:pPr>
        <w:jc w:val="center"/>
        <w:rPr>
          <w:color w:val="861714"/>
          <w:sz w:val="28"/>
          <w:szCs w:val="28"/>
        </w:rPr>
        <w:sectPr w:rsidR="00654C79" w:rsidSect="00E9384A">
          <w:pgSz w:w="15840" w:h="12240" w:orient="landscape" w:code="1"/>
          <w:pgMar w:top="432" w:right="432" w:bottom="432" w:left="432" w:header="720" w:footer="144" w:gutter="0"/>
          <w:cols w:space="720"/>
          <w:docGrid w:linePitch="272"/>
        </w:sectPr>
      </w:pPr>
    </w:p>
    <w:p w:rsidR="00E9384A" w:rsidRDefault="00E9384A" w:rsidP="00654C79">
      <w:pPr>
        <w:jc w:val="center"/>
        <w:rPr>
          <w:color w:val="861714"/>
          <w:sz w:val="24"/>
          <w:szCs w:val="24"/>
        </w:rPr>
      </w:pPr>
    </w:p>
    <w:p w:rsidR="00E9384A" w:rsidRDefault="00E9384A" w:rsidP="00654C79">
      <w:pPr>
        <w:jc w:val="center"/>
        <w:rPr>
          <w:color w:val="861714"/>
          <w:sz w:val="24"/>
          <w:szCs w:val="24"/>
        </w:rPr>
      </w:pPr>
    </w:p>
    <w:p w:rsidR="00E9384A" w:rsidRDefault="00E9384A" w:rsidP="00654C79">
      <w:pPr>
        <w:jc w:val="center"/>
        <w:rPr>
          <w:color w:val="861714"/>
          <w:sz w:val="24"/>
          <w:szCs w:val="24"/>
        </w:rPr>
      </w:pPr>
    </w:p>
    <w:p w:rsidR="00E9384A" w:rsidRDefault="00E9384A" w:rsidP="00654C79">
      <w:pPr>
        <w:jc w:val="center"/>
        <w:rPr>
          <w:color w:val="861714"/>
          <w:sz w:val="24"/>
          <w:szCs w:val="24"/>
        </w:rPr>
      </w:pPr>
    </w:p>
    <w:p w:rsidR="00E9384A" w:rsidRDefault="00E9384A" w:rsidP="00654C79">
      <w:pPr>
        <w:jc w:val="center"/>
        <w:rPr>
          <w:color w:val="861714"/>
          <w:sz w:val="24"/>
          <w:szCs w:val="24"/>
        </w:rPr>
      </w:pPr>
    </w:p>
    <w:p w:rsidR="00E9384A" w:rsidRDefault="00E9384A" w:rsidP="00654C79">
      <w:pPr>
        <w:jc w:val="center"/>
        <w:rPr>
          <w:color w:val="861714"/>
          <w:sz w:val="24"/>
          <w:szCs w:val="24"/>
        </w:rPr>
      </w:pPr>
    </w:p>
    <w:p w:rsidR="000D0605" w:rsidRDefault="002E2484" w:rsidP="00654C79">
      <w:pPr>
        <w:jc w:val="center"/>
        <w:rPr>
          <w:color w:val="861714"/>
          <w:sz w:val="24"/>
          <w:szCs w:val="24"/>
        </w:rPr>
      </w:pPr>
      <w:r>
        <w:rPr>
          <w:color w:val="861714"/>
          <w:sz w:val="24"/>
          <w:szCs w:val="24"/>
        </w:rPr>
        <w:t>Texas School for the Blind &amp; Visually Impaired</w:t>
      </w:r>
    </w:p>
    <w:p w:rsidR="000D0605" w:rsidRDefault="002E2484">
      <w:pPr>
        <w:jc w:val="center"/>
        <w:rPr>
          <w:color w:val="861714"/>
          <w:sz w:val="24"/>
          <w:szCs w:val="24"/>
        </w:rPr>
      </w:pPr>
      <w:r>
        <w:rPr>
          <w:color w:val="861714"/>
          <w:sz w:val="24"/>
          <w:szCs w:val="24"/>
        </w:rPr>
        <w:t>Outreach Programs</w:t>
      </w:r>
    </w:p>
    <w:p w:rsidR="00654C79" w:rsidRDefault="00654C79">
      <w:pPr>
        <w:jc w:val="center"/>
        <w:rPr>
          <w:color w:val="861714"/>
          <w:sz w:val="24"/>
          <w:szCs w:val="24"/>
        </w:rPr>
      </w:pPr>
    </w:p>
    <w:p w:rsidR="000D0605" w:rsidRDefault="002E2484">
      <w:pPr>
        <w:jc w:val="center"/>
        <w:rPr>
          <w:color w:val="861714"/>
          <w:sz w:val="28"/>
          <w:szCs w:val="28"/>
        </w:rPr>
      </w:pPr>
      <w:r>
        <w:rPr>
          <w:noProof/>
          <w:color w:val="861714"/>
          <w:sz w:val="28"/>
          <w:szCs w:val="28"/>
        </w:rPr>
        <w:drawing>
          <wp:inline distT="0" distB="0" distL="0" distR="0">
            <wp:extent cx="952500" cy="914400"/>
            <wp:effectExtent l="0" t="0" r="0" b="0"/>
            <wp:docPr id="7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3"/>
                    <a:srcRect/>
                    <a:stretch>
                      <a:fillRect/>
                    </a:stretch>
                  </pic:blipFill>
                  <pic:spPr>
                    <a:xfrm>
                      <a:off x="0" y="0"/>
                      <a:ext cx="952500" cy="914400"/>
                    </a:xfrm>
                    <a:prstGeom prst="rect">
                      <a:avLst/>
                    </a:prstGeom>
                    <a:ln/>
                  </pic:spPr>
                </pic:pic>
              </a:graphicData>
            </a:graphic>
          </wp:inline>
        </w:drawing>
      </w:r>
    </w:p>
    <w:p w:rsidR="00654C79" w:rsidRDefault="00654C79">
      <w:pPr>
        <w:jc w:val="center"/>
        <w:rPr>
          <w:color w:val="861714"/>
          <w:sz w:val="28"/>
          <w:szCs w:val="28"/>
        </w:rPr>
      </w:pPr>
    </w:p>
    <w:p w:rsidR="00654C79" w:rsidRDefault="00654C79">
      <w:pPr>
        <w:jc w:val="center"/>
        <w:rPr>
          <w:color w:val="861714"/>
          <w:sz w:val="28"/>
          <w:szCs w:val="28"/>
        </w:rPr>
      </w:pPr>
    </w:p>
    <w:p w:rsidR="00654C79" w:rsidRDefault="00654C79">
      <w:pPr>
        <w:jc w:val="center"/>
        <w:rPr>
          <w:color w:val="861714"/>
          <w:sz w:val="28"/>
          <w:szCs w:val="28"/>
        </w:rPr>
      </w:pPr>
    </w:p>
    <w:p w:rsidR="00654C79" w:rsidRDefault="00654C79">
      <w:pPr>
        <w:jc w:val="center"/>
        <w:rPr>
          <w:color w:val="861714"/>
          <w:sz w:val="28"/>
          <w:szCs w:val="28"/>
        </w:rPr>
      </w:pPr>
    </w:p>
    <w:p w:rsidR="000D0605" w:rsidRDefault="002E2484">
      <w:pPr>
        <w:jc w:val="center"/>
        <w:rPr>
          <w:color w:val="861714"/>
          <w:sz w:val="28"/>
          <w:szCs w:val="28"/>
        </w:rPr>
      </w:pPr>
      <w:r>
        <w:rPr>
          <w:noProof/>
        </w:rPr>
        <w:drawing>
          <wp:anchor distT="0" distB="0" distL="114300" distR="114300" simplePos="0" relativeHeight="251658240" behindDoc="0" locked="0" layoutInCell="1" hidden="0" allowOverlap="1">
            <wp:simplePos x="0" y="0"/>
            <wp:positionH relativeFrom="column">
              <wp:posOffset>739042</wp:posOffset>
            </wp:positionH>
            <wp:positionV relativeFrom="paragraph">
              <wp:posOffset>193870</wp:posOffset>
            </wp:positionV>
            <wp:extent cx="914400" cy="914400"/>
            <wp:effectExtent l="0" t="0" r="0" b="0"/>
            <wp:wrapSquare wrapText="bothSides" distT="0" distB="0" distL="114300" distR="114300"/>
            <wp:docPr id="729" name="image3.jpg" descr="The IDEAs that  Work logo from the Office of Special Education."/>
            <wp:cNvGraphicFramePr/>
            <a:graphic xmlns:a="http://schemas.openxmlformats.org/drawingml/2006/main">
              <a:graphicData uri="http://schemas.openxmlformats.org/drawingml/2006/picture">
                <pic:pic xmlns:pic="http://schemas.openxmlformats.org/drawingml/2006/picture">
                  <pic:nvPicPr>
                    <pic:cNvPr id="0" name="image3.jpg" descr="The IDEAs that  Work logo from the Office of Special Education."/>
                    <pic:cNvPicPr preferRelativeResize="0"/>
                  </pic:nvPicPr>
                  <pic:blipFill>
                    <a:blip r:embed="rId34"/>
                    <a:srcRect/>
                    <a:stretch>
                      <a:fillRect/>
                    </a:stretch>
                  </pic:blipFill>
                  <pic:spPr>
                    <a:xfrm>
                      <a:off x="0" y="0"/>
                      <a:ext cx="914400" cy="914400"/>
                    </a:xfrm>
                    <a:prstGeom prst="rect">
                      <a:avLst/>
                    </a:prstGeom>
                    <a:ln/>
                  </pic:spPr>
                </pic:pic>
              </a:graphicData>
            </a:graphic>
          </wp:anchor>
        </w:drawing>
      </w:r>
    </w:p>
    <w:p w:rsidR="000D0605" w:rsidRDefault="000D0605">
      <w:pPr>
        <w:jc w:val="center"/>
        <w:rPr>
          <w:b/>
        </w:rPr>
      </w:pPr>
    </w:p>
    <w:p w:rsidR="000D0605" w:rsidRDefault="002E2484">
      <w:pPr>
        <w:ind w:left="720" w:right="864"/>
        <w:jc w:val="center"/>
      </w:pPr>
      <w:r>
        <w:t>This project is supported by the U.S. Department of Education, Special Education Program (OSEP). Opinions expressed here are the authors and do not necessarily represent the position of the Department of Education.</w:t>
      </w:r>
    </w:p>
    <w:p w:rsidR="000D0605" w:rsidRDefault="002E2484">
      <w:pPr>
        <w:rPr>
          <w:b/>
        </w:rPr>
      </w:pPr>
      <w:r>
        <w:rPr>
          <w:b/>
        </w:rPr>
        <w:br/>
      </w:r>
    </w:p>
    <w:p w:rsidR="000D0605" w:rsidRDefault="000D0605">
      <w:pPr>
        <w:rPr>
          <w:b/>
        </w:rPr>
      </w:pPr>
    </w:p>
    <w:p w:rsidR="000D0605" w:rsidRDefault="000D0605">
      <w:pPr>
        <w:rPr>
          <w:b/>
        </w:rPr>
      </w:pPr>
    </w:p>
    <w:p w:rsidR="000D0605" w:rsidRDefault="000D0605">
      <w:pPr>
        <w:rPr>
          <w:b/>
        </w:rPr>
      </w:pPr>
    </w:p>
    <w:p w:rsidR="000D0605" w:rsidRDefault="000D0605">
      <w:pPr>
        <w:rPr>
          <w:b/>
        </w:rPr>
      </w:pPr>
    </w:p>
    <w:p w:rsidR="000D0605" w:rsidRDefault="000D0605">
      <w:pPr>
        <w:rPr>
          <w:b/>
        </w:rPr>
      </w:pPr>
    </w:p>
    <w:sectPr w:rsidR="000D0605" w:rsidSect="00E9384A">
      <w:pgSz w:w="12240" w:h="15840" w:code="1"/>
      <w:pgMar w:top="432" w:right="432" w:bottom="432" w:left="432"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F5" w:rsidRDefault="004838F5">
      <w:pPr>
        <w:spacing w:after="0" w:line="240" w:lineRule="auto"/>
      </w:pPr>
      <w:r>
        <w:separator/>
      </w:r>
    </w:p>
  </w:endnote>
  <w:endnote w:type="continuationSeparator" w:id="0">
    <w:p w:rsidR="004838F5" w:rsidRDefault="0048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05" w:rsidRDefault="002E2484">
    <w:pPr>
      <w:pStyle w:val="Title"/>
      <w:spacing w:line="360" w:lineRule="auto"/>
      <w:rPr>
        <w:b w:val="0"/>
        <w:color w:val="000000"/>
        <w:sz w:val="18"/>
        <w:szCs w:val="18"/>
      </w:rPr>
    </w:pPr>
    <w:r>
      <w:rPr>
        <w:b w:val="0"/>
        <w:color w:val="000000"/>
        <w:sz w:val="18"/>
        <w:szCs w:val="18"/>
      </w:rPr>
      <w:t>Guide for Administrators Evaluating Teachers Using an Active Learning Approach During Instruction – TSBVI</w:t>
    </w:r>
    <w:r>
      <w:rPr>
        <w:b w:val="0"/>
        <w:color w:val="000000"/>
        <w:sz w:val="18"/>
        <w:szCs w:val="18"/>
      </w:rPr>
      <w:tab/>
    </w:r>
    <w:r>
      <w:rPr>
        <w:b w:val="0"/>
        <w:color w:val="000000"/>
        <w:sz w:val="18"/>
        <w:szCs w:val="18"/>
      </w:rPr>
      <w:tab/>
    </w:r>
    <w:r>
      <w:rPr>
        <w:b w:val="0"/>
        <w:color w:val="000000"/>
        <w:sz w:val="18"/>
        <w:szCs w:val="18"/>
      </w:rPr>
      <w:tab/>
    </w:r>
    <w:r>
      <w:rPr>
        <w:sz w:val="20"/>
        <w:szCs w:val="20"/>
      </w:rPr>
      <w:fldChar w:fldCharType="begin"/>
    </w:r>
    <w:r>
      <w:rPr>
        <w:sz w:val="20"/>
        <w:szCs w:val="20"/>
      </w:rPr>
      <w:instrText>PAGE</w:instrText>
    </w:r>
    <w:r>
      <w:rPr>
        <w:sz w:val="20"/>
        <w:szCs w:val="20"/>
      </w:rPr>
      <w:fldChar w:fldCharType="separate"/>
    </w:r>
    <w:r w:rsidR="002578EC">
      <w:rPr>
        <w:noProof/>
        <w:sz w:val="20"/>
        <w:szCs w:val="20"/>
      </w:rPr>
      <w:t>8</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F5" w:rsidRDefault="004838F5">
      <w:pPr>
        <w:spacing w:after="0" w:line="240" w:lineRule="auto"/>
      </w:pPr>
      <w:r>
        <w:separator/>
      </w:r>
    </w:p>
  </w:footnote>
  <w:footnote w:type="continuationSeparator" w:id="0">
    <w:p w:rsidR="004838F5" w:rsidRDefault="00483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0AFC"/>
    <w:multiLevelType w:val="multilevel"/>
    <w:tmpl w:val="1E8645F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227D59"/>
    <w:multiLevelType w:val="multilevel"/>
    <w:tmpl w:val="0FD6E3F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551048"/>
    <w:multiLevelType w:val="multilevel"/>
    <w:tmpl w:val="8C1EF0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10318E"/>
    <w:multiLevelType w:val="multilevel"/>
    <w:tmpl w:val="84CE6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252AAF"/>
    <w:multiLevelType w:val="multilevel"/>
    <w:tmpl w:val="7E6200E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B4190B"/>
    <w:multiLevelType w:val="multilevel"/>
    <w:tmpl w:val="D372506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DC72A4"/>
    <w:multiLevelType w:val="multilevel"/>
    <w:tmpl w:val="9B50B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1730A6"/>
    <w:multiLevelType w:val="multilevel"/>
    <w:tmpl w:val="3C26E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187376B"/>
    <w:multiLevelType w:val="multilevel"/>
    <w:tmpl w:val="A14C7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1F21CB"/>
    <w:multiLevelType w:val="multilevel"/>
    <w:tmpl w:val="45B2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156146"/>
    <w:multiLevelType w:val="multilevel"/>
    <w:tmpl w:val="FCCA6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655514"/>
    <w:multiLevelType w:val="multilevel"/>
    <w:tmpl w:val="6D70B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0D711E"/>
    <w:multiLevelType w:val="multilevel"/>
    <w:tmpl w:val="C72C85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12"/>
  </w:num>
  <w:num w:numId="4">
    <w:abstractNumId w:val="5"/>
  </w:num>
  <w:num w:numId="5">
    <w:abstractNumId w:val="9"/>
  </w:num>
  <w:num w:numId="6">
    <w:abstractNumId w:val="4"/>
  </w:num>
  <w:num w:numId="7">
    <w:abstractNumId w:val="2"/>
  </w:num>
  <w:num w:numId="8">
    <w:abstractNumId w:val="3"/>
  </w:num>
  <w:num w:numId="9">
    <w:abstractNumId w:val="1"/>
  </w:num>
  <w:num w:numId="10">
    <w:abstractNumId w:val="11"/>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05"/>
    <w:rsid w:val="000D0605"/>
    <w:rsid w:val="00161481"/>
    <w:rsid w:val="002578EC"/>
    <w:rsid w:val="002E2484"/>
    <w:rsid w:val="00372DA9"/>
    <w:rsid w:val="004838F5"/>
    <w:rsid w:val="005F0739"/>
    <w:rsid w:val="00654C79"/>
    <w:rsid w:val="006C52A8"/>
    <w:rsid w:val="009F3926"/>
    <w:rsid w:val="00E9384A"/>
    <w:rsid w:val="00ED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95CEB-AFBE-4DFC-9305-21FBB0CF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33"/>
  </w:style>
  <w:style w:type="paragraph" w:styleId="Heading1">
    <w:name w:val="heading 1"/>
    <w:basedOn w:val="Normal"/>
    <w:next w:val="Normal"/>
    <w:link w:val="Heading1Char"/>
    <w:uiPriority w:val="9"/>
    <w:qFormat/>
    <w:rsid w:val="00061733"/>
    <w:pPr>
      <w:keepNext/>
      <w:keepLines/>
      <w:spacing w:before="240" w:after="120"/>
      <w:outlineLvl w:val="0"/>
    </w:pPr>
    <w:rPr>
      <w:rFonts w:eastAsiaTheme="majorEastAsia" w:cstheme="majorBidi"/>
      <w:color w:val="861714"/>
      <w:sz w:val="24"/>
      <w:szCs w:val="32"/>
    </w:rPr>
  </w:style>
  <w:style w:type="paragraph" w:styleId="Heading2">
    <w:name w:val="heading 2"/>
    <w:basedOn w:val="Normal"/>
    <w:next w:val="Normal"/>
    <w:link w:val="Heading2Char"/>
    <w:uiPriority w:val="9"/>
    <w:unhideWhenUsed/>
    <w:qFormat/>
    <w:rsid w:val="001B53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53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0B2B"/>
    <w:pPr>
      <w:spacing w:after="24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1D0B2B"/>
    <w:rPr>
      <w:rFonts w:ascii="Arial" w:eastAsiaTheme="majorEastAsia" w:hAnsi="Arial" w:cstheme="majorBidi"/>
      <w:b/>
      <w:spacing w:val="-10"/>
      <w:kern w:val="28"/>
      <w:sz w:val="32"/>
      <w:szCs w:val="56"/>
    </w:rPr>
  </w:style>
  <w:style w:type="character" w:styleId="Hyperlink">
    <w:name w:val="Hyperlink"/>
    <w:basedOn w:val="DefaultParagraphFont"/>
    <w:uiPriority w:val="99"/>
    <w:unhideWhenUsed/>
    <w:rsid w:val="00A4208A"/>
    <w:rPr>
      <w:color w:val="0563C1" w:themeColor="hyperlink"/>
      <w:u w:val="single"/>
    </w:rPr>
  </w:style>
  <w:style w:type="paragraph" w:styleId="ListParagraph">
    <w:name w:val="List Paragraph"/>
    <w:basedOn w:val="Normal"/>
    <w:uiPriority w:val="34"/>
    <w:qFormat/>
    <w:rsid w:val="00BD6AD3"/>
    <w:pPr>
      <w:ind w:left="720"/>
      <w:contextualSpacing/>
    </w:pPr>
  </w:style>
  <w:style w:type="character" w:customStyle="1" w:styleId="Heading2Char">
    <w:name w:val="Heading 2 Char"/>
    <w:basedOn w:val="DefaultParagraphFont"/>
    <w:link w:val="Heading2"/>
    <w:uiPriority w:val="9"/>
    <w:rsid w:val="001B537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B537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6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1733"/>
    <w:rPr>
      <w:rFonts w:ascii="Arial" w:eastAsiaTheme="majorEastAsia" w:hAnsi="Arial" w:cstheme="majorBidi"/>
      <w:color w:val="861714"/>
      <w:sz w:val="24"/>
      <w:szCs w:val="32"/>
    </w:rPr>
  </w:style>
  <w:style w:type="paragraph" w:styleId="Header">
    <w:name w:val="header"/>
    <w:basedOn w:val="Normal"/>
    <w:link w:val="HeaderChar"/>
    <w:uiPriority w:val="99"/>
    <w:unhideWhenUsed/>
    <w:rsid w:val="00970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A9B"/>
    <w:rPr>
      <w:rFonts w:ascii="Arial" w:hAnsi="Arial"/>
      <w:sz w:val="20"/>
    </w:rPr>
  </w:style>
  <w:style w:type="paragraph" w:styleId="Footer">
    <w:name w:val="footer"/>
    <w:basedOn w:val="Normal"/>
    <w:link w:val="FooterChar"/>
    <w:uiPriority w:val="99"/>
    <w:unhideWhenUsed/>
    <w:rsid w:val="00970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A9B"/>
    <w:rPr>
      <w:rFonts w:ascii="Arial" w:hAnsi="Arial"/>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9F3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3926"/>
    <w:rPr>
      <w:b/>
      <w:bCs/>
    </w:rPr>
  </w:style>
  <w:style w:type="character" w:styleId="FollowedHyperlink">
    <w:name w:val="FollowedHyperlink"/>
    <w:basedOn w:val="DefaultParagraphFont"/>
    <w:uiPriority w:val="99"/>
    <w:semiHidden/>
    <w:unhideWhenUsed/>
    <w:rsid w:val="00257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247">
      <w:bodyDiv w:val="1"/>
      <w:marLeft w:val="0"/>
      <w:marRight w:val="0"/>
      <w:marTop w:val="0"/>
      <w:marBottom w:val="0"/>
      <w:divBdr>
        <w:top w:val="none" w:sz="0" w:space="0" w:color="auto"/>
        <w:left w:val="none" w:sz="0" w:space="0" w:color="auto"/>
        <w:bottom w:val="none" w:sz="0" w:space="0" w:color="auto"/>
        <w:right w:val="none" w:sz="0" w:space="0" w:color="auto"/>
      </w:divBdr>
    </w:div>
    <w:div w:id="1541548721">
      <w:bodyDiv w:val="1"/>
      <w:marLeft w:val="0"/>
      <w:marRight w:val="0"/>
      <w:marTop w:val="0"/>
      <w:marBottom w:val="0"/>
      <w:divBdr>
        <w:top w:val="none" w:sz="0" w:space="0" w:color="auto"/>
        <w:left w:val="none" w:sz="0" w:space="0" w:color="auto"/>
        <w:bottom w:val="none" w:sz="0" w:space="0" w:color="auto"/>
        <w:right w:val="none" w:sz="0" w:space="0" w:color="auto"/>
      </w:divBdr>
    </w:div>
    <w:div w:id="1686052528">
      <w:bodyDiv w:val="1"/>
      <w:marLeft w:val="0"/>
      <w:marRight w:val="0"/>
      <w:marTop w:val="0"/>
      <w:marBottom w:val="0"/>
      <w:divBdr>
        <w:top w:val="none" w:sz="0" w:space="0" w:color="auto"/>
        <w:left w:val="none" w:sz="0" w:space="0" w:color="auto"/>
        <w:bottom w:val="none" w:sz="0" w:space="0" w:color="auto"/>
        <w:right w:val="none" w:sz="0" w:space="0" w:color="auto"/>
      </w:divBdr>
    </w:div>
    <w:div w:id="1872643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ctivelearningspace.org" TargetMode="External"/><Relationship Id="rId18" Type="http://schemas.openxmlformats.org/officeDocument/2006/relationships/hyperlink" Target="https://activelearningspace.org/assessment/" TargetMode="External"/><Relationship Id="rId26" Type="http://schemas.openxmlformats.org/officeDocument/2006/relationships/hyperlink" Target="https://www.tsbvi.edu/publications/1024-calendars-for-students-with-multiple-impairments-including-deafblindness" TargetMode="External"/><Relationship Id="rId3" Type="http://schemas.openxmlformats.org/officeDocument/2006/relationships/styles" Target="styles.xml"/><Relationship Id="rId21" Type="http://schemas.openxmlformats.org/officeDocument/2006/relationships/hyperlink" Target="https://activelearningspace.org/principles/dynamic-learning-circle/" TargetMode="External"/><Relationship Id="rId34"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hurstk@tsbvi.edu" TargetMode="External"/><Relationship Id="rId17" Type="http://schemas.openxmlformats.org/officeDocument/2006/relationships/hyperlink" Target="https://texasrisingstar.org/wp-content/uploads/2016/01/TexasEarlyLearningPathways%20(1).pdf" TargetMode="External"/><Relationship Id="rId25" Type="http://schemas.openxmlformats.org/officeDocument/2006/relationships/hyperlink" Target="https://txdeafblindproject.org/instructional-strategies/" TargetMode="External"/><Relationship Id="rId33"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texasrisingstar.org/wp-content/uploads/2016/01/TexasEarlyLearningPathways%20(1).pdf" TargetMode="External"/><Relationship Id="rId20" Type="http://schemas.openxmlformats.org/officeDocument/2006/relationships/hyperlink" Target="https://activelearningspace.org/progress-documentation/forms-for-documenting-progress" TargetMode="External"/><Relationship Id="rId29" Type="http://schemas.openxmlformats.org/officeDocument/2006/relationships/hyperlink" Target="https://activelearningspace.org/principles/dynamic-learning-cir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xdeafblindproject.org/deafblind-interaction/five-steps-interaction/" TargetMode="External"/><Relationship Id="rId32" Type="http://schemas.openxmlformats.org/officeDocument/2006/relationships/hyperlink" Target="https://activelearningspace.org/resources/courses/" TargetMode="External"/><Relationship Id="rId5" Type="http://schemas.openxmlformats.org/officeDocument/2006/relationships/webSettings" Target="webSettings.xml"/><Relationship Id="rId15" Type="http://schemas.openxmlformats.org/officeDocument/2006/relationships/hyperlink" Target="https://tea.texas.gov/academics/early-childhood-education/texas-prekindergarten-guidelines" TargetMode="External"/><Relationship Id="rId23" Type="http://schemas.openxmlformats.org/officeDocument/2006/relationships/hyperlink" Target="https://txdeafblindproject.org/deafblind-interaction/" TargetMode="External"/><Relationship Id="rId28" Type="http://schemas.openxmlformats.org/officeDocument/2006/relationships/hyperlink" Target="https://activelearningspace.org/materials/attractive-objects/" TargetMode="External"/><Relationship Id="rId36" Type="http://schemas.openxmlformats.org/officeDocument/2006/relationships/theme" Target="theme/theme1.xml"/><Relationship Id="rId10" Type="http://schemas.openxmlformats.org/officeDocument/2006/relationships/hyperlink" Target="http://www.activelearningspace.org" TargetMode="External"/><Relationship Id="rId19" Type="http://schemas.openxmlformats.org/officeDocument/2006/relationships/hyperlink" Target="https://activelearningspace.org/documenting-progress/documenting-progress-using-the-functional-scheme/" TargetMode="External"/><Relationship Id="rId31" Type="http://schemas.openxmlformats.org/officeDocument/2006/relationships/hyperlink" Target="https://activelearningspace.org/resources/podcasts-and-webinar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ctivelearningspace.org" TargetMode="External"/><Relationship Id="rId22" Type="http://schemas.openxmlformats.org/officeDocument/2006/relationships/hyperlink" Target="https://activelearningspace.org/principles/five-phases-of-educational-treatment/" TargetMode="External"/><Relationship Id="rId27" Type="http://schemas.openxmlformats.org/officeDocument/2006/relationships/hyperlink" Target="https://activelearningspace.org/wp-content/uploads/2022/04/Quick-Guide-to-Active-Learning-Equipment-rev3.22.pdf" TargetMode="External"/><Relationship Id="rId30" Type="http://schemas.openxmlformats.org/officeDocument/2006/relationships/hyperlink" Target="https://lp.constantcontactpages.com/su/Dn4Il7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gsBKUw13CoU+abNg8wSh3OumNw==">AMUW2mWVfcMnKOsC4GjVTmOyRZFCp2WGTnUdQ6yPkMA6J5ypmlSzf7yAJyxIcRvHVlhtSM6Pdn7r/xmHkw8wWTPIRfFsHPHiSe/ayYOj/yXzBkbgUCk6gwN1sPS1hMBFxJe0Pyf6J2zD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Hurst</dc:creator>
  <cp:lastModifiedBy>Kate Hurst</cp:lastModifiedBy>
  <cp:revision>2</cp:revision>
  <dcterms:created xsi:type="dcterms:W3CDTF">2022-05-17T17:02:00Z</dcterms:created>
  <dcterms:modified xsi:type="dcterms:W3CDTF">2022-05-17T17:02:00Z</dcterms:modified>
</cp:coreProperties>
</file>